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CB9B5" w14:textId="24E3570C" w:rsidR="00BE40F7" w:rsidRPr="00D71A92" w:rsidRDefault="00BE40F7" w:rsidP="00BE40F7">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Pr>
          <w:rStyle w:val="Emphasis"/>
          <w:rFonts w:eastAsiaTheme="minorEastAsia" w:hint="eastAsia"/>
          <w:b/>
          <w:i w:val="0"/>
          <w:sz w:val="22"/>
          <w:lang w:eastAsia="zh-TW"/>
        </w:rPr>
        <w:t xml:space="preserve"> </w:t>
      </w:r>
      <w:r w:rsidRPr="00A41770">
        <w:rPr>
          <w:rStyle w:val="Emphasis"/>
          <w:b/>
          <w:i w:val="0"/>
          <w:sz w:val="22"/>
        </w:rPr>
        <w:t>RAN</w:t>
      </w:r>
      <w:r>
        <w:rPr>
          <w:rStyle w:val="Emphasis"/>
          <w:rFonts w:eastAsiaTheme="minorEastAsia" w:hint="eastAsia"/>
          <w:b/>
          <w:i w:val="0"/>
          <w:sz w:val="22"/>
          <w:lang w:eastAsia="zh-TW"/>
        </w:rPr>
        <w:t xml:space="preserve"> W</w:t>
      </w:r>
      <w:r w:rsidRPr="00A41770">
        <w:rPr>
          <w:rStyle w:val="Emphasis"/>
          <w:b/>
          <w:i w:val="0"/>
          <w:sz w:val="22"/>
        </w:rPr>
        <w:t>G1</w:t>
      </w:r>
      <w:r w:rsidRPr="00454D93">
        <w:rPr>
          <w:rStyle w:val="Emphasis"/>
          <w:b/>
          <w:i w:val="0"/>
          <w:sz w:val="22"/>
        </w:rPr>
        <w:t xml:space="preserve"> #</w:t>
      </w:r>
      <w:r w:rsidR="009C5124">
        <w:rPr>
          <w:rStyle w:val="Emphasis"/>
          <w:b/>
          <w:i w:val="0"/>
          <w:sz w:val="22"/>
        </w:rPr>
        <w:t>101</w:t>
      </w:r>
      <w:r w:rsidRPr="00A41770">
        <w:rPr>
          <w:rStyle w:val="Emphasis"/>
          <w:b/>
          <w:i w:val="0"/>
          <w:sz w:val="22"/>
        </w:rPr>
        <w:tab/>
      </w:r>
      <w:r>
        <w:rPr>
          <w:rStyle w:val="Emphasis"/>
          <w:b/>
          <w:i w:val="0"/>
          <w:sz w:val="22"/>
        </w:rPr>
        <w:t>R1-</w:t>
      </w:r>
      <w:r w:rsidRPr="003D67DE">
        <w:t xml:space="preserve"> </w:t>
      </w:r>
      <w:r w:rsidRPr="003D67DE">
        <w:rPr>
          <w:rStyle w:val="Emphasis"/>
          <w:b/>
          <w:i w:val="0"/>
          <w:sz w:val="22"/>
        </w:rPr>
        <w:t>200</w:t>
      </w:r>
      <w:r w:rsidR="009C5124">
        <w:rPr>
          <w:rStyle w:val="Emphasis"/>
          <w:b/>
          <w:i w:val="0"/>
          <w:sz w:val="22"/>
        </w:rPr>
        <w:t>3682</w:t>
      </w:r>
    </w:p>
    <w:p w14:paraId="557D5302" w14:textId="6D01A7D0" w:rsidR="00BE40F7" w:rsidRPr="00051139" w:rsidRDefault="00BE40F7" w:rsidP="00BE40F7">
      <w:pPr>
        <w:tabs>
          <w:tab w:val="right" w:pos="9630"/>
        </w:tabs>
        <w:spacing w:after="0"/>
        <w:jc w:val="both"/>
        <w:rPr>
          <w:rStyle w:val="Emphasis"/>
          <w:rFonts w:eastAsiaTheme="minorEastAsia"/>
          <w:b/>
          <w:i w:val="0"/>
          <w:sz w:val="22"/>
          <w:lang w:eastAsia="zh-TW"/>
        </w:rPr>
      </w:pPr>
      <w:proofErr w:type="gramStart"/>
      <w:r>
        <w:rPr>
          <w:rStyle w:val="Emphasis"/>
          <w:rFonts w:eastAsia="PMingLiU"/>
          <w:b/>
          <w:i w:val="0"/>
          <w:sz w:val="22"/>
          <w:lang w:eastAsia="zh-TW"/>
        </w:rPr>
        <w:t>e-Meeting</w:t>
      </w:r>
      <w:proofErr w:type="gramEnd"/>
      <w:r>
        <w:rPr>
          <w:rStyle w:val="Emphasis"/>
          <w:rFonts w:eastAsia="PMingLiU"/>
          <w:b/>
          <w:i w:val="0"/>
          <w:sz w:val="22"/>
          <w:lang w:eastAsia="zh-TW"/>
        </w:rPr>
        <w:t xml:space="preserve">, </w:t>
      </w:r>
      <w:r w:rsidR="009C5124" w:rsidRPr="009C5124">
        <w:rPr>
          <w:rFonts w:eastAsia="PMingLiU"/>
          <w:b/>
          <w:iCs/>
          <w:sz w:val="22"/>
          <w:lang w:eastAsia="zh-TW"/>
        </w:rPr>
        <w:t>May 25th – June 5th, 2020</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Pr>
          <w:rStyle w:val="Emphasis"/>
          <w:b/>
          <w:i w:val="0"/>
          <w:sz w:val="22"/>
        </w:rPr>
        <w:t>7</w:t>
      </w:r>
      <w:r w:rsidRPr="00EA200C">
        <w:rPr>
          <w:rStyle w:val="Emphasis"/>
          <w:b/>
          <w:i w:val="0"/>
          <w:sz w:val="22"/>
        </w:rPr>
        <w:t>.</w:t>
      </w:r>
      <w:r>
        <w:rPr>
          <w:rStyle w:val="Emphasis"/>
          <w:b/>
          <w:i w:val="0"/>
          <w:sz w:val="22"/>
        </w:rPr>
        <w:t>2.4.3</w:t>
      </w:r>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r w:rsidRPr="00E10A37">
        <w:rPr>
          <w:rStyle w:val="Emphasis"/>
          <w:rFonts w:eastAsia="PMingLiU"/>
          <w:b/>
          <w:i w:val="0"/>
          <w:sz w:val="22"/>
          <w:lang w:eastAsia="zh-TW"/>
        </w:rPr>
        <w:t>MediaTek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p>
    <w:p w14:paraId="71698666" w14:textId="77777777" w:rsidR="004503F9" w:rsidRPr="00183CB7" w:rsidRDefault="004503F9" w:rsidP="00791397">
      <w:pPr>
        <w:pStyle w:val="Heading1"/>
        <w:ind w:left="426"/>
        <w:rPr>
          <w:lang w:eastAsia="zh-CN"/>
        </w:rPr>
      </w:pPr>
      <w:bookmarkStart w:id="1" w:name="_Ref477948028"/>
      <w:r w:rsidRPr="00183CB7">
        <w:rPr>
          <w:lang w:eastAsia="zh-CN"/>
        </w:rPr>
        <w:t>Introduction</w:t>
      </w:r>
      <w:bookmarkEnd w:id="1"/>
    </w:p>
    <w:p w14:paraId="7855DB88" w14:textId="5F82A486"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 xml:space="preserve">several open issues </w:t>
      </w:r>
      <w:r w:rsidR="00CB68C4">
        <w:rPr>
          <w:rFonts w:eastAsiaTheme="minorEastAsia"/>
          <w:lang w:val="en-GB" w:eastAsia="zh-TW"/>
        </w:rPr>
        <w:t>base</w:t>
      </w:r>
      <w:r w:rsidR="008B778D">
        <w:rPr>
          <w:rFonts w:eastAsiaTheme="minorEastAsia"/>
          <w:lang w:val="en-GB" w:eastAsia="zh-TW"/>
        </w:rPr>
        <w:t>d on th</w:t>
      </w:r>
      <w:r w:rsidR="00E10A37">
        <w:rPr>
          <w:rFonts w:eastAsiaTheme="minorEastAsia"/>
          <w:lang w:val="en-GB" w:eastAsia="zh-TW"/>
        </w:rPr>
        <w:t>e feature lead summary in RAN1#</w:t>
      </w:r>
      <w:r w:rsidR="000D21B5">
        <w:rPr>
          <w:rFonts w:eastAsiaTheme="minorEastAsia"/>
          <w:lang w:val="en-GB" w:eastAsia="zh-TW"/>
        </w:rPr>
        <w:t>100</w:t>
      </w:r>
      <w:r w:rsidR="00F6604C">
        <w:rPr>
          <w:rFonts w:eastAsiaTheme="minorEastAsia"/>
          <w:lang w:val="en-GB" w:eastAsia="zh-TW"/>
        </w:rPr>
        <w:t>bis_</w:t>
      </w:r>
      <w:r w:rsidR="000D21B5">
        <w:rPr>
          <w:rFonts w:eastAsiaTheme="minorEastAsia"/>
          <w:lang w:val="en-GB" w:eastAsia="zh-TW"/>
        </w:rPr>
        <w:t>e</w:t>
      </w:r>
      <w:r w:rsidR="008B778D">
        <w:rPr>
          <w:rFonts w:eastAsiaTheme="minorEastAsia"/>
          <w:lang w:val="en-GB" w:eastAsia="zh-TW"/>
        </w:rPr>
        <w:t xml:space="preserve"> meeting.</w:t>
      </w:r>
      <w:r w:rsidR="00C62F56">
        <w:rPr>
          <w:rFonts w:eastAsiaTheme="minorEastAsia"/>
          <w:lang w:val="en-GB" w:eastAsia="zh-TW"/>
        </w:rPr>
        <w:t xml:space="preserve"> </w:t>
      </w:r>
    </w:p>
    <w:p w14:paraId="4C5D5FFD" w14:textId="0C573E0F" w:rsidR="000D21B5" w:rsidRDefault="000D21B5" w:rsidP="00791397">
      <w:pPr>
        <w:pStyle w:val="Heading1"/>
        <w:ind w:left="426"/>
        <w:rPr>
          <w:lang w:eastAsia="zh-CN"/>
        </w:rPr>
      </w:pPr>
      <w:r>
        <w:rPr>
          <w:lang w:eastAsia="zh-CN"/>
        </w:rPr>
        <w:t>TDD UL/DL Configuration in S-SSB</w:t>
      </w:r>
    </w:p>
    <w:p w14:paraId="34594182" w14:textId="77777777" w:rsidR="000D21B5" w:rsidRDefault="000D21B5" w:rsidP="000D21B5">
      <w:pPr>
        <w:jc w:val="both"/>
        <w:rPr>
          <w:lang w:val="en-GB" w:eastAsia="zh-CN"/>
        </w:rPr>
      </w:pPr>
      <w:r w:rsidRPr="000D21B5">
        <w:rPr>
          <w:lang w:val="en-GB" w:eastAsia="zh-CN"/>
        </w:rPr>
        <w:t xml:space="preserve">For TDD UL/DL information carried in S-SSB to determine the available SL slots, the indication for single period and dual-period patterns associated with the UL slots per period can be indicated in S-SSB derived from the TDD UL/DL configuration in </w:t>
      </w:r>
      <w:proofErr w:type="spellStart"/>
      <w:r w:rsidRPr="000D21B5">
        <w:rPr>
          <w:lang w:val="en-GB" w:eastAsia="zh-CN"/>
        </w:rPr>
        <w:t>uu</w:t>
      </w:r>
      <w:proofErr w:type="spellEnd"/>
      <w:r w:rsidRPr="000D21B5">
        <w:rPr>
          <w:lang w:val="en-GB" w:eastAsia="zh-CN"/>
        </w:rPr>
        <w:t xml:space="preserve"> interface (e.g., SIB messages). Due to the limited bits in S-SSB, not all combinations can be carried</w:t>
      </w:r>
      <w:r>
        <w:rPr>
          <w:lang w:val="en-GB" w:eastAsia="zh-CN"/>
        </w:rPr>
        <w:t xml:space="preserve">. To save the bits, the dual-period patterns with the same period for P1 and P2 can derive the UL slots based on a reference dual-period pattern. </w:t>
      </w:r>
      <w:r w:rsidRPr="000D21B5">
        <w:rPr>
          <w:lang w:val="en-GB" w:eastAsia="zh-CN"/>
        </w:rPr>
        <w:t xml:space="preserve">For example, </w:t>
      </w:r>
      <w:r>
        <w:rPr>
          <w:lang w:val="en-GB" w:eastAsia="zh-CN"/>
        </w:rPr>
        <w:t>the signalling may provide the UL slots based on a reference dual-period pattern. The UL slots for the other patterns can be derived from the reference pattern. Supposing the dual-period</w:t>
      </w:r>
      <w:r w:rsidRPr="000D21B5">
        <w:rPr>
          <w:lang w:val="en-GB" w:eastAsia="zh-CN"/>
        </w:rPr>
        <w:t xml:space="preserve"> pattern {P1,</w:t>
      </w:r>
      <w:r>
        <w:rPr>
          <w:lang w:val="en-GB" w:eastAsia="zh-CN"/>
        </w:rPr>
        <w:t xml:space="preserve"> </w:t>
      </w:r>
      <w:r w:rsidRPr="000D21B5">
        <w:rPr>
          <w:lang w:val="en-GB" w:eastAsia="zh-CN"/>
        </w:rPr>
        <w:t xml:space="preserve">P2} </w:t>
      </w:r>
      <w:proofErr w:type="gramStart"/>
      <w:r w:rsidRPr="000D21B5">
        <w:rPr>
          <w:lang w:val="en-GB" w:eastAsia="zh-CN"/>
        </w:rPr>
        <w:t>={</w:t>
      </w:r>
      <w:proofErr w:type="gramEnd"/>
      <w:r w:rsidRPr="000D21B5">
        <w:rPr>
          <w:lang w:val="en-GB" w:eastAsia="zh-CN"/>
        </w:rPr>
        <w:t>5</w:t>
      </w:r>
      <w:r>
        <w:rPr>
          <w:lang w:val="en-GB" w:eastAsia="zh-CN"/>
        </w:rPr>
        <w:t>ms</w:t>
      </w:r>
      <w:r w:rsidRPr="000D21B5">
        <w:rPr>
          <w:lang w:val="en-GB" w:eastAsia="zh-CN"/>
        </w:rPr>
        <w:t>,5</w:t>
      </w:r>
      <w:r>
        <w:rPr>
          <w:lang w:val="en-GB" w:eastAsia="zh-CN"/>
        </w:rPr>
        <w:t>ms</w:t>
      </w:r>
      <w:r w:rsidRPr="000D21B5">
        <w:rPr>
          <w:lang w:val="en-GB" w:eastAsia="zh-CN"/>
        </w:rPr>
        <w:t>}</w:t>
      </w:r>
      <w:r>
        <w:rPr>
          <w:lang w:val="en-GB" w:eastAsia="zh-CN"/>
        </w:rPr>
        <w:t xml:space="preserve"> is defined as a reference pattern, </w:t>
      </w:r>
      <w:r w:rsidRPr="000D21B5">
        <w:rPr>
          <w:lang w:val="en-GB" w:eastAsia="zh-CN"/>
        </w:rPr>
        <w:t xml:space="preserve">the </w:t>
      </w:r>
      <w:r>
        <w:rPr>
          <w:lang w:val="en-GB" w:eastAsia="zh-CN"/>
        </w:rPr>
        <w:t xml:space="preserve">UL slots for the </w:t>
      </w:r>
      <w:r w:rsidRPr="000D21B5">
        <w:rPr>
          <w:lang w:val="en-GB" w:eastAsia="zh-CN"/>
        </w:rPr>
        <w:t>other patterns with the same period in P1 and P2, i.e., {2</w:t>
      </w:r>
      <w:r>
        <w:rPr>
          <w:lang w:val="en-GB" w:eastAsia="zh-CN"/>
        </w:rPr>
        <w:t>ms</w:t>
      </w:r>
      <w:r w:rsidRPr="000D21B5">
        <w:rPr>
          <w:lang w:val="en-GB" w:eastAsia="zh-CN"/>
        </w:rPr>
        <w:t>,2</w:t>
      </w:r>
      <w:r>
        <w:rPr>
          <w:lang w:val="en-GB" w:eastAsia="zh-CN"/>
        </w:rPr>
        <w:t>ms</w:t>
      </w:r>
      <w:r w:rsidRPr="000D21B5">
        <w:rPr>
          <w:lang w:val="en-GB" w:eastAsia="zh-CN"/>
        </w:rPr>
        <w:t>}, {2.5</w:t>
      </w:r>
      <w:r>
        <w:rPr>
          <w:lang w:val="en-GB" w:eastAsia="zh-CN"/>
        </w:rPr>
        <w:t>ms</w:t>
      </w:r>
      <w:r w:rsidRPr="000D21B5">
        <w:rPr>
          <w:lang w:val="en-GB" w:eastAsia="zh-CN"/>
        </w:rPr>
        <w:t>,2.5</w:t>
      </w:r>
      <w:r>
        <w:rPr>
          <w:lang w:val="en-GB" w:eastAsia="zh-CN"/>
        </w:rPr>
        <w:t>ms</w:t>
      </w:r>
      <w:r w:rsidRPr="000D21B5">
        <w:rPr>
          <w:lang w:val="en-GB" w:eastAsia="zh-CN"/>
        </w:rPr>
        <w:t>} and {10</w:t>
      </w:r>
      <w:r>
        <w:rPr>
          <w:lang w:val="en-GB" w:eastAsia="zh-CN"/>
        </w:rPr>
        <w:t>ms</w:t>
      </w:r>
      <w:r w:rsidRPr="000D21B5">
        <w:rPr>
          <w:lang w:val="en-GB" w:eastAsia="zh-CN"/>
        </w:rPr>
        <w:t>,10</w:t>
      </w:r>
      <w:r>
        <w:rPr>
          <w:lang w:val="en-GB" w:eastAsia="zh-CN"/>
        </w:rPr>
        <w:t>ms</w:t>
      </w:r>
      <w:r w:rsidRPr="000D21B5">
        <w:rPr>
          <w:lang w:val="en-GB" w:eastAsia="zh-CN"/>
        </w:rPr>
        <w:t>}</w:t>
      </w:r>
      <w:r>
        <w:rPr>
          <w:lang w:val="en-GB" w:eastAsia="zh-CN"/>
        </w:rPr>
        <w:t xml:space="preserve"> can be derived from the UL slots indicated based on </w:t>
      </w:r>
      <w:r w:rsidRPr="000D21B5">
        <w:rPr>
          <w:lang w:val="en-GB" w:eastAsia="zh-CN"/>
        </w:rPr>
        <w:t>{5</w:t>
      </w:r>
      <w:r>
        <w:rPr>
          <w:lang w:val="en-GB" w:eastAsia="zh-CN"/>
        </w:rPr>
        <w:t>ms</w:t>
      </w:r>
      <w:r w:rsidRPr="000D21B5">
        <w:rPr>
          <w:lang w:val="en-GB" w:eastAsia="zh-CN"/>
        </w:rPr>
        <w:t>,5</w:t>
      </w:r>
      <w:r>
        <w:rPr>
          <w:lang w:val="en-GB" w:eastAsia="zh-CN"/>
        </w:rPr>
        <w:t>ms</w:t>
      </w:r>
      <w:r w:rsidRPr="000D21B5">
        <w:rPr>
          <w:lang w:val="en-GB" w:eastAsia="zh-CN"/>
        </w:rPr>
        <w:t xml:space="preserve">} pattern taking into account the difference of the granularity. </w:t>
      </w:r>
    </w:p>
    <w:p w14:paraId="10EA90B6" w14:textId="5F32D824" w:rsidR="000D21B5" w:rsidRDefault="000D21B5" w:rsidP="000D21B5">
      <w:pPr>
        <w:jc w:val="both"/>
        <w:rPr>
          <w:lang w:val="en-GB" w:eastAsia="zh-CN"/>
        </w:rPr>
      </w:pPr>
      <w:r w:rsidRPr="000D21B5">
        <w:rPr>
          <w:lang w:val="en-GB" w:eastAsia="zh-CN"/>
        </w:rPr>
        <w:t xml:space="preserve">That is, for a target </w:t>
      </w:r>
      <w:r>
        <w:rPr>
          <w:lang w:val="en-GB" w:eastAsia="zh-CN"/>
        </w:rPr>
        <w:t xml:space="preserve">dual-period </w:t>
      </w:r>
      <w:r w:rsidRPr="000D21B5">
        <w:rPr>
          <w:lang w:val="en-GB" w:eastAsia="zh-CN"/>
        </w:rPr>
        <w:t>pattern {Pt, Pt}, the UL slots can be derived by using the indicated UL slots in a reference pattern {</w:t>
      </w:r>
      <w:proofErr w:type="spellStart"/>
      <w:r w:rsidRPr="000D21B5">
        <w:rPr>
          <w:lang w:val="en-GB" w:eastAsia="zh-CN"/>
        </w:rPr>
        <w:t>Pr</w:t>
      </w:r>
      <w:proofErr w:type="gramStart"/>
      <w:r w:rsidRPr="000D21B5">
        <w:rPr>
          <w:lang w:val="en-GB" w:eastAsia="zh-CN"/>
        </w:rPr>
        <w:t>,Pr</w:t>
      </w:r>
      <w:proofErr w:type="spellEnd"/>
      <w:proofErr w:type="gramEnd"/>
      <w:r w:rsidRPr="000D21B5">
        <w:rPr>
          <w:lang w:val="en-GB" w:eastAsia="zh-CN"/>
        </w:rPr>
        <w:t xml:space="preserve">} as such: </w:t>
      </w:r>
    </w:p>
    <w:p w14:paraId="3680EB75" w14:textId="3000ABF7" w:rsidR="000D21B5" w:rsidRDefault="000D21B5" w:rsidP="000D21B5">
      <w:pPr>
        <w:rPr>
          <w:lang w:val="en-GB" w:eastAsia="zh-CN"/>
        </w:rPr>
      </w:pPr>
      <w:r>
        <w:rPr>
          <w:lang w:val="en-GB" w:eastAsia="zh-CN"/>
        </w:rPr>
        <w:tab/>
      </w:r>
      <w:proofErr w:type="spellStart"/>
      <w:r w:rsidRPr="000D21B5">
        <w:rPr>
          <w:lang w:val="en-GB" w:eastAsia="zh-CN"/>
        </w:rPr>
        <w:t>UL_slots</w:t>
      </w:r>
      <w:proofErr w:type="spellEnd"/>
      <w:proofErr w:type="gramStart"/>
      <w:r w:rsidRPr="000D21B5">
        <w:rPr>
          <w:lang w:val="en-GB" w:eastAsia="zh-CN"/>
        </w:rPr>
        <w:t>_{</w:t>
      </w:r>
      <w:proofErr w:type="spellStart"/>
      <w:proofErr w:type="gramEnd"/>
      <w:r w:rsidRPr="000D21B5">
        <w:rPr>
          <w:lang w:val="en-GB" w:eastAsia="zh-CN"/>
        </w:rPr>
        <w:t>Pt,Pt</w:t>
      </w:r>
      <w:proofErr w:type="spellEnd"/>
      <w:r w:rsidRPr="000D21B5">
        <w:rPr>
          <w:lang w:val="en-GB" w:eastAsia="zh-CN"/>
        </w:rPr>
        <w:t>}</w:t>
      </w:r>
      <w:r>
        <w:rPr>
          <w:lang w:val="en-GB" w:eastAsia="zh-CN"/>
        </w:rPr>
        <w:t>_P1</w:t>
      </w:r>
      <w:r w:rsidRPr="000D21B5">
        <w:rPr>
          <w:lang w:val="en-GB" w:eastAsia="zh-CN"/>
        </w:rPr>
        <w:t xml:space="preserve"> = floor(</w:t>
      </w:r>
      <w:proofErr w:type="spellStart"/>
      <w:r w:rsidRPr="000D21B5">
        <w:rPr>
          <w:lang w:val="en-GB" w:eastAsia="zh-CN"/>
        </w:rPr>
        <w:t>UL_slots</w:t>
      </w:r>
      <w:proofErr w:type="spellEnd"/>
      <w:r w:rsidRPr="000D21B5">
        <w:rPr>
          <w:lang w:val="en-GB" w:eastAsia="zh-CN"/>
        </w:rPr>
        <w:t>_{</w:t>
      </w:r>
      <w:proofErr w:type="spellStart"/>
      <w:r w:rsidRPr="000D21B5">
        <w:rPr>
          <w:lang w:val="en-GB" w:eastAsia="zh-CN"/>
        </w:rPr>
        <w:t>Pr,Pr</w:t>
      </w:r>
      <w:proofErr w:type="spellEnd"/>
      <w:r w:rsidRPr="000D21B5">
        <w:rPr>
          <w:lang w:val="en-GB" w:eastAsia="zh-CN"/>
        </w:rPr>
        <w:t>}</w:t>
      </w:r>
      <w:r>
        <w:rPr>
          <w:lang w:val="en-GB" w:eastAsia="zh-CN"/>
        </w:rPr>
        <w:t>_P1</w:t>
      </w:r>
      <w:r w:rsidRPr="000D21B5">
        <w:rPr>
          <w:lang w:val="en-GB" w:eastAsia="zh-CN"/>
        </w:rPr>
        <w:t xml:space="preserve"> / </w:t>
      </w:r>
      <w:proofErr w:type="spellStart"/>
      <w:r w:rsidRPr="000D21B5">
        <w:rPr>
          <w:lang w:val="en-GB" w:eastAsia="zh-CN"/>
        </w:rPr>
        <w:t>Pr</w:t>
      </w:r>
      <w:proofErr w:type="spellEnd"/>
      <w:r w:rsidRPr="000D21B5">
        <w:rPr>
          <w:lang w:val="en-GB" w:eastAsia="zh-CN"/>
        </w:rPr>
        <w:t xml:space="preserve"> * P</w:t>
      </w:r>
      <w:r>
        <w:rPr>
          <w:lang w:val="en-GB" w:eastAsia="zh-CN"/>
        </w:rPr>
        <w:t>t</w:t>
      </w:r>
      <w:r w:rsidRPr="000D21B5">
        <w:rPr>
          <w:lang w:val="en-GB" w:eastAsia="zh-CN"/>
        </w:rPr>
        <w:t xml:space="preserve">) , </w:t>
      </w:r>
    </w:p>
    <w:p w14:paraId="1F05737E" w14:textId="587A873A" w:rsidR="000D21B5" w:rsidRDefault="000D21B5" w:rsidP="000D21B5">
      <w:pPr>
        <w:rPr>
          <w:lang w:val="en-GB" w:eastAsia="zh-CN"/>
        </w:rPr>
      </w:pPr>
      <w:r>
        <w:rPr>
          <w:lang w:val="en-GB" w:eastAsia="zh-CN"/>
        </w:rPr>
        <w:tab/>
      </w:r>
      <w:proofErr w:type="spellStart"/>
      <w:r w:rsidRPr="000D21B5">
        <w:rPr>
          <w:lang w:val="en-GB" w:eastAsia="zh-CN"/>
        </w:rPr>
        <w:t>UL_slots</w:t>
      </w:r>
      <w:proofErr w:type="spellEnd"/>
      <w:proofErr w:type="gramStart"/>
      <w:r w:rsidRPr="000D21B5">
        <w:rPr>
          <w:lang w:val="en-GB" w:eastAsia="zh-CN"/>
        </w:rPr>
        <w:t>_{</w:t>
      </w:r>
      <w:proofErr w:type="spellStart"/>
      <w:proofErr w:type="gramEnd"/>
      <w:r w:rsidRPr="000D21B5">
        <w:rPr>
          <w:lang w:val="en-GB" w:eastAsia="zh-CN"/>
        </w:rPr>
        <w:t>Pt,Pt</w:t>
      </w:r>
      <w:proofErr w:type="spellEnd"/>
      <w:r w:rsidRPr="000D21B5">
        <w:rPr>
          <w:lang w:val="en-GB" w:eastAsia="zh-CN"/>
        </w:rPr>
        <w:t>}</w:t>
      </w:r>
      <w:r>
        <w:rPr>
          <w:lang w:val="en-GB" w:eastAsia="zh-CN"/>
        </w:rPr>
        <w:t>_P2</w:t>
      </w:r>
      <w:r w:rsidRPr="000D21B5">
        <w:rPr>
          <w:lang w:val="en-GB" w:eastAsia="zh-CN"/>
        </w:rPr>
        <w:t xml:space="preserve"> = floor(</w:t>
      </w:r>
      <w:proofErr w:type="spellStart"/>
      <w:r w:rsidRPr="000D21B5">
        <w:rPr>
          <w:lang w:val="en-GB" w:eastAsia="zh-CN"/>
        </w:rPr>
        <w:t>UL_slots</w:t>
      </w:r>
      <w:proofErr w:type="spellEnd"/>
      <w:r w:rsidRPr="000D21B5">
        <w:rPr>
          <w:lang w:val="en-GB" w:eastAsia="zh-CN"/>
        </w:rPr>
        <w:t>_{</w:t>
      </w:r>
      <w:proofErr w:type="spellStart"/>
      <w:r w:rsidRPr="000D21B5">
        <w:rPr>
          <w:lang w:val="en-GB" w:eastAsia="zh-CN"/>
        </w:rPr>
        <w:t>Pr,Pr</w:t>
      </w:r>
      <w:proofErr w:type="spellEnd"/>
      <w:r w:rsidRPr="000D21B5">
        <w:rPr>
          <w:lang w:val="en-GB" w:eastAsia="zh-CN"/>
        </w:rPr>
        <w:t>}</w:t>
      </w:r>
      <w:r>
        <w:rPr>
          <w:lang w:val="en-GB" w:eastAsia="zh-CN"/>
        </w:rPr>
        <w:t>_P2</w:t>
      </w:r>
      <w:r w:rsidRPr="000D21B5">
        <w:rPr>
          <w:lang w:val="en-GB" w:eastAsia="zh-CN"/>
        </w:rPr>
        <w:t xml:space="preserve"> / </w:t>
      </w:r>
      <w:proofErr w:type="spellStart"/>
      <w:r w:rsidRPr="000D21B5">
        <w:rPr>
          <w:lang w:val="en-GB" w:eastAsia="zh-CN"/>
        </w:rPr>
        <w:t>Pr</w:t>
      </w:r>
      <w:proofErr w:type="spellEnd"/>
      <w:r w:rsidRPr="000D21B5">
        <w:rPr>
          <w:lang w:val="en-GB" w:eastAsia="zh-CN"/>
        </w:rPr>
        <w:t xml:space="preserve"> * P</w:t>
      </w:r>
      <w:r>
        <w:rPr>
          <w:lang w:val="en-GB" w:eastAsia="zh-CN"/>
        </w:rPr>
        <w:t>t</w:t>
      </w:r>
      <w:r w:rsidRPr="000D21B5">
        <w:rPr>
          <w:lang w:val="en-GB" w:eastAsia="zh-CN"/>
        </w:rPr>
        <w:t xml:space="preserve">) , </w:t>
      </w:r>
    </w:p>
    <w:p w14:paraId="248D6B7B" w14:textId="31EA72CE" w:rsidR="000D21B5" w:rsidRDefault="000D21B5" w:rsidP="000D21B5">
      <w:pPr>
        <w:jc w:val="both"/>
        <w:rPr>
          <w:lang w:val="en-GB" w:eastAsia="zh-CN"/>
        </w:rPr>
      </w:pPr>
      <w:r>
        <w:rPr>
          <w:lang w:val="en-GB" w:eastAsia="zh-CN"/>
        </w:rPr>
        <w:tab/>
      </w:r>
      <w:r w:rsidRPr="000D21B5">
        <w:rPr>
          <w:lang w:val="en-GB" w:eastAsia="zh-CN"/>
        </w:rPr>
        <w:t>Wherein</w:t>
      </w:r>
    </w:p>
    <w:p w14:paraId="41A3D345" w14:textId="77777777" w:rsidR="000D21B5" w:rsidRPr="000D21B5" w:rsidRDefault="000D21B5" w:rsidP="000D21B5">
      <w:pPr>
        <w:pStyle w:val="ListParagraph"/>
        <w:numPr>
          <w:ilvl w:val="0"/>
          <w:numId w:val="40"/>
        </w:numPr>
        <w:jc w:val="both"/>
        <w:rPr>
          <w:rFonts w:ascii="Times New Roman" w:hAnsi="Times New Roman"/>
          <w:sz w:val="20"/>
          <w:szCs w:val="20"/>
          <w:lang w:val="en-GB" w:eastAsia="zh-CN"/>
        </w:rPr>
      </w:pPr>
      <w:r w:rsidRPr="000D21B5">
        <w:rPr>
          <w:rFonts w:ascii="Times New Roman" w:hAnsi="Times New Roman"/>
          <w:sz w:val="20"/>
          <w:szCs w:val="20"/>
          <w:lang w:val="en-GB" w:eastAsia="zh-CN"/>
        </w:rPr>
        <w:t xml:space="preserve">Pt </w:t>
      </w:r>
      <w:proofErr w:type="spellStart"/>
      <w:r w:rsidRPr="000D21B5">
        <w:rPr>
          <w:rFonts w:ascii="Times New Roman" w:hAnsi="Times New Roman"/>
          <w:sz w:val="20"/>
          <w:szCs w:val="20"/>
          <w:lang w:val="en-GB" w:eastAsia="zh-CN"/>
        </w:rPr>
        <w:t>is,e.g</w:t>
      </w:r>
      <w:proofErr w:type="spellEnd"/>
      <w:r w:rsidRPr="000D21B5">
        <w:rPr>
          <w:rFonts w:ascii="Times New Roman" w:hAnsi="Times New Roman"/>
          <w:sz w:val="20"/>
          <w:szCs w:val="20"/>
          <w:lang w:val="en-GB" w:eastAsia="zh-CN"/>
        </w:rPr>
        <w:t xml:space="preserve">., 2ms, 2.5ms and 10ms for the corresponding target dual-period patterns {2ms,2ms},{2.5ms,2.5ms} and {10ms,10ms} respectively, and </w:t>
      </w:r>
    </w:p>
    <w:p w14:paraId="3B1F5CE7" w14:textId="44ECDD9A" w:rsidR="000D21B5" w:rsidRPr="000D21B5" w:rsidRDefault="000D21B5" w:rsidP="000D21B5">
      <w:pPr>
        <w:pStyle w:val="ListParagraph"/>
        <w:numPr>
          <w:ilvl w:val="0"/>
          <w:numId w:val="40"/>
        </w:numPr>
        <w:jc w:val="both"/>
        <w:rPr>
          <w:rFonts w:ascii="Times New Roman" w:hAnsi="Times New Roman"/>
          <w:sz w:val="20"/>
          <w:szCs w:val="20"/>
          <w:lang w:val="en-GB" w:eastAsia="zh-CN"/>
        </w:rPr>
      </w:pPr>
      <w:proofErr w:type="spellStart"/>
      <w:r w:rsidRPr="000D21B5">
        <w:rPr>
          <w:rFonts w:ascii="Times New Roman" w:hAnsi="Times New Roman"/>
          <w:sz w:val="20"/>
          <w:szCs w:val="20"/>
          <w:lang w:val="en-GB" w:eastAsia="zh-CN"/>
        </w:rPr>
        <w:t>Pr</w:t>
      </w:r>
      <w:proofErr w:type="spellEnd"/>
      <w:r w:rsidRPr="000D21B5">
        <w:rPr>
          <w:rFonts w:ascii="Times New Roman" w:hAnsi="Times New Roman"/>
          <w:sz w:val="20"/>
          <w:szCs w:val="20"/>
          <w:lang w:val="en-GB" w:eastAsia="zh-CN"/>
        </w:rPr>
        <w:t xml:space="preserve"> is the period of the reference pattern (e.g., 5ms if {5ms</w:t>
      </w:r>
      <w:proofErr w:type="gramStart"/>
      <w:r w:rsidRPr="000D21B5">
        <w:rPr>
          <w:rFonts w:ascii="Times New Roman" w:hAnsi="Times New Roman"/>
          <w:sz w:val="20"/>
          <w:szCs w:val="20"/>
          <w:lang w:val="en-GB" w:eastAsia="zh-CN"/>
        </w:rPr>
        <w:t>,5ms</w:t>
      </w:r>
      <w:proofErr w:type="gramEnd"/>
      <w:r w:rsidRPr="000D21B5">
        <w:rPr>
          <w:rFonts w:ascii="Times New Roman" w:hAnsi="Times New Roman"/>
          <w:sz w:val="20"/>
          <w:szCs w:val="20"/>
          <w:lang w:val="en-GB" w:eastAsia="zh-CN"/>
        </w:rPr>
        <w:t xml:space="preserve">} is defined as the reference pattern). </w:t>
      </w:r>
    </w:p>
    <w:p w14:paraId="3FC9C8F1" w14:textId="77777777" w:rsidR="000D21B5" w:rsidRDefault="000D21B5" w:rsidP="000D21B5">
      <w:pPr>
        <w:jc w:val="both"/>
        <w:rPr>
          <w:lang w:val="en-GB" w:eastAsia="zh-CN"/>
        </w:rPr>
      </w:pPr>
    </w:p>
    <w:p w14:paraId="7093D702" w14:textId="77777777" w:rsidR="000D21B5" w:rsidRDefault="000D21B5" w:rsidP="000D21B5">
      <w:pPr>
        <w:jc w:val="both"/>
        <w:rPr>
          <w:lang w:val="en-GB" w:eastAsia="zh-CN"/>
        </w:rPr>
      </w:pPr>
      <w:r w:rsidRPr="000D21B5">
        <w:rPr>
          <w:lang w:val="en-GB" w:eastAsia="zh-CN"/>
        </w:rPr>
        <w:t xml:space="preserve">For example, </w:t>
      </w:r>
    </w:p>
    <w:p w14:paraId="001747E2" w14:textId="4B47BB4E" w:rsidR="000D21B5" w:rsidRPr="000D21B5" w:rsidRDefault="000D21B5" w:rsidP="000D21B5">
      <w:pPr>
        <w:pStyle w:val="ListParagraph"/>
        <w:numPr>
          <w:ilvl w:val="0"/>
          <w:numId w:val="39"/>
        </w:numPr>
        <w:jc w:val="both"/>
        <w:rPr>
          <w:rFonts w:ascii="Times New Roman" w:hAnsi="Times New Roman"/>
          <w:sz w:val="20"/>
          <w:lang w:val="en-GB" w:eastAsia="zh-CN"/>
        </w:rPr>
      </w:pPr>
      <w:proofErr w:type="gramStart"/>
      <w:r w:rsidRPr="000D21B5">
        <w:rPr>
          <w:rFonts w:ascii="Times New Roman" w:hAnsi="Times New Roman"/>
          <w:sz w:val="20"/>
          <w:lang w:val="en-GB" w:eastAsia="zh-CN"/>
        </w:rPr>
        <w:t>if</w:t>
      </w:r>
      <w:proofErr w:type="gramEnd"/>
      <w:r w:rsidRPr="000D21B5">
        <w:rPr>
          <w:rFonts w:ascii="Times New Roman" w:hAnsi="Times New Roman"/>
          <w:sz w:val="20"/>
          <w:lang w:val="en-GB" w:eastAsia="zh-CN"/>
        </w:rPr>
        <w:t xml:space="preserve"> the indicated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 xml:space="preserve">_{5,5}_P1 = 10 slots in P1, then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 xml:space="preserve">_{2,2}_P1 = floor(10/5*2) = 4 slots in P1. </w:t>
      </w:r>
    </w:p>
    <w:p w14:paraId="77A4A45C" w14:textId="4D1E7919" w:rsidR="000D21B5" w:rsidRPr="000D21B5" w:rsidRDefault="000D21B5" w:rsidP="000D21B5">
      <w:pPr>
        <w:pStyle w:val="ListParagraph"/>
        <w:numPr>
          <w:ilvl w:val="0"/>
          <w:numId w:val="39"/>
        </w:numPr>
        <w:jc w:val="both"/>
        <w:rPr>
          <w:rFonts w:ascii="Times New Roman" w:hAnsi="Times New Roman"/>
          <w:sz w:val="20"/>
          <w:lang w:val="en-GB" w:eastAsia="zh-CN"/>
        </w:rPr>
      </w:pPr>
      <w:proofErr w:type="gramStart"/>
      <w:r w:rsidRPr="000D21B5">
        <w:rPr>
          <w:rFonts w:ascii="Times New Roman" w:hAnsi="Times New Roman"/>
          <w:sz w:val="20"/>
          <w:lang w:val="en-GB" w:eastAsia="zh-CN"/>
        </w:rPr>
        <w:t>if</w:t>
      </w:r>
      <w:proofErr w:type="gramEnd"/>
      <w:r w:rsidRPr="000D21B5">
        <w:rPr>
          <w:rFonts w:ascii="Times New Roman" w:hAnsi="Times New Roman"/>
          <w:sz w:val="20"/>
          <w:lang w:val="en-GB" w:eastAsia="zh-CN"/>
        </w:rPr>
        <w:t xml:space="preserve"> the indicated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 xml:space="preserve">_{5,5}_P2 = 15 slots in P2, then </w:t>
      </w:r>
      <w:proofErr w:type="spellStart"/>
      <w:r w:rsidRPr="000D21B5">
        <w:rPr>
          <w:rFonts w:ascii="Times New Roman" w:hAnsi="Times New Roman"/>
          <w:sz w:val="20"/>
          <w:lang w:val="en-GB" w:eastAsia="zh-CN"/>
        </w:rPr>
        <w:t>UL_slots</w:t>
      </w:r>
      <w:proofErr w:type="spellEnd"/>
      <w:r w:rsidRPr="000D21B5">
        <w:rPr>
          <w:rFonts w:ascii="Times New Roman" w:hAnsi="Times New Roman"/>
          <w:sz w:val="20"/>
          <w:lang w:val="en-GB" w:eastAsia="zh-CN"/>
        </w:rPr>
        <w:t>_{2,2}_P2 = floor(15/5*2) = 6 slots in P2.</w:t>
      </w:r>
    </w:p>
    <w:p w14:paraId="0AAAF51D" w14:textId="77777777" w:rsidR="000D21B5" w:rsidRDefault="000D21B5" w:rsidP="000D21B5">
      <w:pPr>
        <w:jc w:val="both"/>
        <w:rPr>
          <w:lang w:val="en-GB" w:eastAsia="zh-CN"/>
        </w:rPr>
      </w:pPr>
    </w:p>
    <w:p w14:paraId="191B0358" w14:textId="083C4790" w:rsidR="000D21B5" w:rsidRDefault="000D21B5" w:rsidP="000D21B5">
      <w:pPr>
        <w:pStyle w:val="Caption"/>
        <w:rPr>
          <w:lang w:val="en-GB" w:eastAsia="zh-CN"/>
        </w:rPr>
      </w:pPr>
      <w:bookmarkStart w:id="2" w:name="_Ref37429027"/>
      <w:r>
        <w:t xml:space="preserve">Proposal </w:t>
      </w:r>
      <w:r w:rsidR="00464288">
        <w:fldChar w:fldCharType="begin"/>
      </w:r>
      <w:r w:rsidR="00464288">
        <w:instrText xml:space="preserve"> SEQ Proposal \* ARABIC </w:instrText>
      </w:r>
      <w:r w:rsidR="00464288">
        <w:fldChar w:fldCharType="separate"/>
      </w:r>
      <w:r w:rsidR="00F6604C">
        <w:rPr>
          <w:noProof/>
        </w:rPr>
        <w:t>1</w:t>
      </w:r>
      <w:r w:rsidR="00464288">
        <w:rPr>
          <w:noProof/>
        </w:rPr>
        <w:fldChar w:fldCharType="end"/>
      </w:r>
      <w:r>
        <w:t>: For the dual-period patterns with the same period for P1 and P2, UL slot indication for a reference pattern can be used to derive the UL slots for the other patterns with reduced signaling overhead.</w:t>
      </w:r>
      <w:bookmarkEnd w:id="2"/>
      <w:r>
        <w:t xml:space="preserve"> </w:t>
      </w:r>
    </w:p>
    <w:p w14:paraId="68DD9E9E" w14:textId="77777777" w:rsidR="000D21B5" w:rsidRDefault="000D21B5" w:rsidP="000D21B5">
      <w:pPr>
        <w:jc w:val="both"/>
        <w:rPr>
          <w:lang w:val="en-GB" w:eastAsia="zh-CN"/>
        </w:rPr>
      </w:pPr>
    </w:p>
    <w:p w14:paraId="19842FD0" w14:textId="77777777" w:rsidR="000D21B5" w:rsidRPr="000D21B5" w:rsidRDefault="000D21B5" w:rsidP="000D21B5">
      <w:pPr>
        <w:rPr>
          <w:lang w:val="en-GB" w:eastAsia="zh-CN"/>
        </w:rPr>
      </w:pPr>
    </w:p>
    <w:p w14:paraId="5ACE2FF1" w14:textId="5EAB36B4" w:rsidR="00F6604C" w:rsidRDefault="00F6604C" w:rsidP="00791397">
      <w:pPr>
        <w:pStyle w:val="Heading1"/>
        <w:ind w:left="426"/>
        <w:rPr>
          <w:lang w:eastAsia="zh-CN"/>
        </w:rPr>
      </w:pPr>
      <w:r>
        <w:rPr>
          <w:lang w:eastAsia="zh-CN"/>
        </w:rPr>
        <w:t xml:space="preserve">S-SSB RSRP measurements </w:t>
      </w:r>
    </w:p>
    <w:p w14:paraId="4A30D953" w14:textId="77777777" w:rsidR="00F6604C" w:rsidRDefault="00F6604C" w:rsidP="00F6604C">
      <w:pPr>
        <w:rPr>
          <w:lang w:val="en-GB" w:eastAsia="zh-CN"/>
        </w:rPr>
      </w:pPr>
      <w:r>
        <w:rPr>
          <w:lang w:val="en-GB" w:eastAsia="zh-CN"/>
        </w:rPr>
        <w:t>There is o</w:t>
      </w:r>
      <w:r w:rsidRPr="00F6604C">
        <w:rPr>
          <w:lang w:val="en-GB" w:eastAsia="zh-CN"/>
        </w:rPr>
        <w:t xml:space="preserve">ne important </w:t>
      </w:r>
      <w:r>
        <w:rPr>
          <w:lang w:val="en-GB" w:eastAsia="zh-CN"/>
        </w:rPr>
        <w:t xml:space="preserve">open </w:t>
      </w:r>
      <w:r w:rsidRPr="00F6604C">
        <w:rPr>
          <w:lang w:val="en-GB" w:eastAsia="zh-CN"/>
        </w:rPr>
        <w:t xml:space="preserve">issue </w:t>
      </w:r>
      <w:r>
        <w:rPr>
          <w:lang w:val="en-GB" w:eastAsia="zh-CN"/>
        </w:rPr>
        <w:t>about S-</w:t>
      </w:r>
      <w:r w:rsidRPr="00F6604C">
        <w:rPr>
          <w:lang w:val="en-GB" w:eastAsia="zh-CN"/>
        </w:rPr>
        <w:t>SSB</w:t>
      </w:r>
      <w:r>
        <w:rPr>
          <w:lang w:val="en-GB" w:eastAsia="zh-CN"/>
        </w:rPr>
        <w:t xml:space="preserve"> </w:t>
      </w:r>
      <w:r w:rsidRPr="00F6604C">
        <w:rPr>
          <w:lang w:val="en-GB" w:eastAsia="zh-CN"/>
        </w:rPr>
        <w:t xml:space="preserve">RSRP measurement, i.e., </w:t>
      </w:r>
      <w:r>
        <w:rPr>
          <w:lang w:val="en-GB" w:eastAsia="zh-CN"/>
        </w:rPr>
        <w:t>S-</w:t>
      </w:r>
      <w:r w:rsidRPr="00F6604C">
        <w:rPr>
          <w:lang w:val="en-GB" w:eastAsia="zh-CN"/>
        </w:rPr>
        <w:t>SSB</w:t>
      </w:r>
      <w:r>
        <w:rPr>
          <w:lang w:val="en-GB" w:eastAsia="zh-CN"/>
        </w:rPr>
        <w:t xml:space="preserve"> </w:t>
      </w:r>
      <w:r w:rsidRPr="00F6604C">
        <w:rPr>
          <w:lang w:val="en-GB" w:eastAsia="zh-CN"/>
        </w:rPr>
        <w:t xml:space="preserve">RSRP is </w:t>
      </w:r>
      <w:r>
        <w:rPr>
          <w:lang w:val="en-GB" w:eastAsia="zh-CN"/>
        </w:rPr>
        <w:t>measured based on S-SSS or PSBCH-DMRS, which also has the impact on RAN4 work</w:t>
      </w:r>
      <w:r w:rsidRPr="00F6604C">
        <w:rPr>
          <w:lang w:val="en-GB" w:eastAsia="zh-CN"/>
        </w:rPr>
        <w:t>.</w:t>
      </w:r>
    </w:p>
    <w:p w14:paraId="5588AB12" w14:textId="77777777" w:rsidR="00F6604C" w:rsidRDefault="00F6604C" w:rsidP="00F6604C">
      <w:pPr>
        <w:rPr>
          <w:lang w:val="en-GB" w:eastAsia="zh-CN"/>
        </w:rPr>
      </w:pPr>
      <w:r w:rsidRPr="00F6604C">
        <w:rPr>
          <w:lang w:val="en-GB" w:eastAsia="zh-CN"/>
        </w:rPr>
        <w:t>Technically, considering more reference signals in NR S-SSS</w:t>
      </w:r>
      <w:r>
        <w:rPr>
          <w:lang w:val="en-GB" w:eastAsia="zh-CN"/>
        </w:rPr>
        <w:t xml:space="preserve"> compared to LTE S-SSS, S-SSS based </w:t>
      </w:r>
      <w:r w:rsidRPr="00F6604C">
        <w:rPr>
          <w:lang w:val="en-GB" w:eastAsia="zh-CN"/>
        </w:rPr>
        <w:t>RSRP (same as NR uu) is more preferred for reducing the complexity by reusing NR uu implementation</w:t>
      </w:r>
      <w:r>
        <w:rPr>
          <w:lang w:val="en-GB" w:eastAsia="zh-CN"/>
        </w:rPr>
        <w:t xml:space="preserve"> and requirements</w:t>
      </w:r>
      <w:r w:rsidRPr="00F6604C">
        <w:rPr>
          <w:lang w:val="en-GB" w:eastAsia="zh-CN"/>
        </w:rPr>
        <w:t>. Furthermore, it also avoids one more step to measure RSRP on PBCH-DMRS</w:t>
      </w:r>
      <w:r>
        <w:rPr>
          <w:lang w:val="en-GB" w:eastAsia="zh-CN"/>
        </w:rPr>
        <w:t xml:space="preserve"> for implementation</w:t>
      </w:r>
      <w:r w:rsidRPr="00F6604C">
        <w:rPr>
          <w:lang w:val="en-GB" w:eastAsia="zh-CN"/>
        </w:rPr>
        <w:t xml:space="preserve">. So we suggest to </w:t>
      </w:r>
      <w:r>
        <w:rPr>
          <w:lang w:val="en-GB" w:eastAsia="zh-CN"/>
        </w:rPr>
        <w:t xml:space="preserve">adopt </w:t>
      </w:r>
      <w:r w:rsidRPr="00F6604C">
        <w:rPr>
          <w:lang w:val="en-GB" w:eastAsia="zh-CN"/>
        </w:rPr>
        <w:t>S-SSS based RSRP measurement.</w:t>
      </w:r>
      <w:r>
        <w:rPr>
          <w:lang w:val="en-GB" w:eastAsia="zh-CN"/>
        </w:rPr>
        <w:t xml:space="preserve"> In addition, PSBCH-DMRS is optional for RSRP measurement, similar to NR uu operation.</w:t>
      </w:r>
    </w:p>
    <w:p w14:paraId="5FEABDD0" w14:textId="08C9C613" w:rsidR="00F6604C" w:rsidRDefault="00F6604C" w:rsidP="00F6604C">
      <w:pPr>
        <w:pStyle w:val="Caption"/>
        <w:rPr>
          <w:lang w:val="en-GB" w:eastAsia="zh-CN"/>
        </w:rPr>
      </w:pPr>
      <w:bookmarkStart w:id="3" w:name="_Ref40528726"/>
      <w:r>
        <w:t xml:space="preserve">Proposal </w:t>
      </w:r>
      <w:r>
        <w:fldChar w:fldCharType="begin"/>
      </w:r>
      <w:r>
        <w:instrText xml:space="preserve"> SEQ Proposal \* ARABIC </w:instrText>
      </w:r>
      <w:r>
        <w:fldChar w:fldCharType="separate"/>
      </w:r>
      <w:r>
        <w:rPr>
          <w:noProof/>
        </w:rPr>
        <w:t>2</w:t>
      </w:r>
      <w:r>
        <w:rPr>
          <w:noProof/>
        </w:rPr>
        <w:fldChar w:fldCharType="end"/>
      </w:r>
      <w:r>
        <w:t xml:space="preserve">: </w:t>
      </w:r>
      <w:r>
        <w:t>S-SSB RSRP is measured based on S-SSS. In addition, PSBCH-DMRS can be used for S-SSB RSRP measurement optionally</w:t>
      </w:r>
      <w:r>
        <w:t>.</w:t>
      </w:r>
      <w:bookmarkEnd w:id="3"/>
      <w:r>
        <w:t xml:space="preserve"> </w:t>
      </w:r>
    </w:p>
    <w:p w14:paraId="79F40C87" w14:textId="77777777" w:rsidR="00F6604C" w:rsidRPr="00F6604C" w:rsidRDefault="00F6604C" w:rsidP="00F6604C">
      <w:pPr>
        <w:rPr>
          <w:lang w:val="en-GB" w:eastAsia="zh-CN"/>
        </w:rPr>
      </w:pPr>
    </w:p>
    <w:p w14:paraId="733AF4E4" w14:textId="64AB9412" w:rsidR="005755BE" w:rsidRDefault="00987D30" w:rsidP="00791397">
      <w:pPr>
        <w:pStyle w:val="Heading1"/>
        <w:ind w:left="426"/>
        <w:rPr>
          <w:lang w:eastAsia="zh-CN"/>
        </w:rPr>
      </w:pPr>
      <w:r>
        <w:rPr>
          <w:lang w:eastAsia="zh-CN"/>
        </w:rPr>
        <w:t>SL timing derived from gNB</w:t>
      </w:r>
      <w:r w:rsidR="00F6604C">
        <w:rPr>
          <w:lang w:eastAsia="zh-CN"/>
        </w:rPr>
        <w:t>s in different frequency layers w/o synchronization</w:t>
      </w:r>
    </w:p>
    <w:p w14:paraId="37D1D33A" w14:textId="01C2E82A" w:rsidR="005755BE" w:rsidRDefault="005755BE" w:rsidP="00791397">
      <w:pPr>
        <w:rPr>
          <w:lang w:eastAsia="zh-TW"/>
        </w:rPr>
      </w:pPr>
      <w:r>
        <w:rPr>
          <w:lang w:val="en-GB" w:eastAsia="zh-CN"/>
        </w:rPr>
        <w:t xml:space="preserve">In LTE V2X, </w:t>
      </w:r>
      <w:r w:rsidR="00B237D7">
        <w:rPr>
          <w:lang w:val="en-GB" w:eastAsia="zh-CN"/>
        </w:rPr>
        <w:t xml:space="preserve">DFN offset with up to </w:t>
      </w:r>
      <w:r>
        <w:rPr>
          <w:lang w:val="en-GB" w:eastAsia="zh-CN"/>
        </w:rPr>
        <w:t xml:space="preserve">1ms was introduced </w:t>
      </w:r>
      <w:r w:rsidR="00B237D7">
        <w:rPr>
          <w:lang w:val="en-GB" w:eastAsia="zh-CN"/>
        </w:rPr>
        <w:t xml:space="preserve">for V2X UEs synced with GNSS </w:t>
      </w:r>
      <w:r>
        <w:rPr>
          <w:lang w:val="en-GB" w:eastAsia="zh-CN"/>
        </w:rPr>
        <w:t xml:space="preserve">to </w:t>
      </w:r>
      <w:r w:rsidR="00B237D7">
        <w:rPr>
          <w:lang w:val="en-GB" w:eastAsia="zh-CN"/>
        </w:rPr>
        <w:t xml:space="preserve">derive the eNB timing on the frequency shared for both uu and SL operations. The purpose is to align GNSS timing </w:t>
      </w:r>
      <w:r w:rsidR="00987D30">
        <w:rPr>
          <w:lang w:val="en-GB" w:eastAsia="zh-CN"/>
        </w:rPr>
        <w:t>with</w:t>
      </w:r>
      <w:r w:rsidR="00B237D7">
        <w:rPr>
          <w:lang w:val="en-GB" w:eastAsia="zh-CN"/>
        </w:rPr>
        <w:t xml:space="preserve"> eNB timing to avoid the mutual interference between V2X UEs and cellular UEs due to the different timing references.</w:t>
      </w:r>
    </w:p>
    <w:p w14:paraId="5EE2BB06" w14:textId="4B1E47E7" w:rsidR="00BF36EA" w:rsidRDefault="00BF36EA" w:rsidP="00CB68C4">
      <w:pPr>
        <w:jc w:val="both"/>
        <w:rPr>
          <w:bCs/>
          <w:lang w:eastAsia="zh-CN"/>
        </w:rPr>
      </w:pPr>
      <w:r>
        <w:rPr>
          <w:bCs/>
          <w:lang w:eastAsia="zh-CN"/>
        </w:rPr>
        <w:t xml:space="preserve">UE1 and UE2’s sidelink service is worked on shared carrier with Uu uplink. There are several scenarios for UE1 and UE2’s </w:t>
      </w:r>
      <w:r w:rsidRPr="00F70BB1">
        <w:rPr>
          <w:bCs/>
          <w:lang w:eastAsia="zh-CN"/>
        </w:rPr>
        <w:t>synchronization</w:t>
      </w:r>
      <w:r w:rsidR="00CB68C4">
        <w:rPr>
          <w:bCs/>
          <w:lang w:eastAsia="zh-CN"/>
        </w:rPr>
        <w:t xml:space="preserve"> status with the potential solutions.</w:t>
      </w:r>
    </w:p>
    <w:p w14:paraId="69470F30" w14:textId="0006079D" w:rsidR="00CB68C4" w:rsidRPr="00CB68C4" w:rsidRDefault="00CB68C4" w:rsidP="00CB68C4">
      <w:pPr>
        <w:pStyle w:val="ListParagraph"/>
        <w:numPr>
          <w:ilvl w:val="0"/>
          <w:numId w:val="26"/>
        </w:numPr>
        <w:jc w:val="both"/>
        <w:rPr>
          <w:rFonts w:ascii="Times New Roman" w:hAnsi="Times New Roman"/>
          <w:b/>
          <w:sz w:val="20"/>
          <w:u w:val="single"/>
          <w:lang w:eastAsia="zh-TW"/>
        </w:rPr>
      </w:pPr>
      <w:r w:rsidRPr="00CB68C4">
        <w:rPr>
          <w:rFonts w:ascii="Times New Roman" w:hAnsi="Times New Roman"/>
          <w:b/>
          <w:bCs/>
          <w:sz w:val="20"/>
          <w:u w:val="single"/>
          <w:lang w:eastAsia="zh-CN"/>
        </w:rPr>
        <w:t>Scenario 1</w:t>
      </w:r>
      <w:r>
        <w:rPr>
          <w:rFonts w:ascii="Times New Roman" w:hAnsi="Times New Roman"/>
          <w:bCs/>
          <w:sz w:val="20"/>
          <w:lang w:eastAsia="zh-CN"/>
        </w:rPr>
        <w:t>: UEs are synced to GNSS and/or BSs wherein BSs are synced within the same frequency layer and across the frequency layers</w:t>
      </w:r>
    </w:p>
    <w:p w14:paraId="2A430C99" w14:textId="3C66F752" w:rsidR="00CB68C4" w:rsidRPr="00CB68C4" w:rsidRDefault="00CB68C4" w:rsidP="00CB68C4">
      <w:pPr>
        <w:pStyle w:val="ListParagraph"/>
        <w:numPr>
          <w:ilvl w:val="1"/>
          <w:numId w:val="26"/>
        </w:numPr>
        <w:jc w:val="both"/>
        <w:rPr>
          <w:rFonts w:ascii="Times New Roman" w:hAnsi="Times New Roman"/>
          <w:b/>
          <w:sz w:val="20"/>
          <w:u w:val="single"/>
          <w:lang w:eastAsia="zh-TW"/>
        </w:rPr>
      </w:pPr>
      <w:r>
        <w:rPr>
          <w:rFonts w:ascii="Times New Roman" w:hAnsi="Times New Roman"/>
          <w:bCs/>
          <w:sz w:val="20"/>
          <w:lang w:eastAsia="zh-CN"/>
        </w:rPr>
        <w:t xml:space="preserve">Solution: The existing signaling </w:t>
      </w:r>
      <w:r w:rsidRPr="00CB68C4">
        <w:rPr>
          <w:rFonts w:ascii="Times New Roman" w:hAnsi="Times New Roman"/>
          <w:b/>
          <w:bCs/>
          <w:sz w:val="20"/>
          <w:lang w:eastAsia="zh-CN"/>
        </w:rPr>
        <w:t>OffsetDFN</w:t>
      </w:r>
      <w:r>
        <w:rPr>
          <w:rFonts w:ascii="Times New Roman" w:hAnsi="Times New Roman"/>
          <w:bCs/>
          <w:sz w:val="20"/>
          <w:lang w:eastAsia="zh-CN"/>
        </w:rPr>
        <w:t xml:space="preserve"> can be used to align GNSS towards BS timing for a common SL timing</w:t>
      </w:r>
    </w:p>
    <w:p w14:paraId="16693FF5" w14:textId="70E71A58"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eastAsia="zh-CN"/>
        </w:rPr>
        <w:t>Scenario 2</w:t>
      </w:r>
      <w:r>
        <w:rPr>
          <w:rFonts w:ascii="Times New Roman" w:hAnsi="Times New Roman"/>
          <w:bCs/>
          <w:sz w:val="20"/>
          <w:lang w:eastAsia="zh-CN"/>
        </w:rPr>
        <w:t xml:space="preserve">: UEs are synced to GNSS and/or intra/inter-frequency BSs wherein BSs are synced within the same frequency layer but asynced across the frequency layers </w:t>
      </w:r>
    </w:p>
    <w:p w14:paraId="195656E5" w14:textId="7F166736" w:rsidR="00CB68C4" w:rsidRPr="00CB68C4" w:rsidRDefault="00CB68C4" w:rsidP="00CB68C4">
      <w:pPr>
        <w:pStyle w:val="ListParagraph"/>
        <w:numPr>
          <w:ilvl w:val="1"/>
          <w:numId w:val="26"/>
        </w:numPr>
        <w:jc w:val="both"/>
        <w:rPr>
          <w:rFonts w:ascii="Times New Roman" w:hAnsi="Times New Roman"/>
          <w:b/>
          <w:sz w:val="20"/>
          <w:u w:val="single"/>
          <w:lang w:val="en-GB" w:eastAsia="zh-TW"/>
        </w:rPr>
      </w:pPr>
      <w:r>
        <w:rPr>
          <w:rFonts w:ascii="Times New Roman" w:hAnsi="Times New Roman"/>
          <w:bCs/>
          <w:sz w:val="20"/>
          <w:lang w:eastAsia="zh-CN"/>
        </w:rPr>
        <w:t xml:space="preserve">Solution: The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Pr>
          <w:rFonts w:ascii="Times New Roman" w:hAnsi="Times New Roman"/>
          <w:bCs/>
          <w:sz w:val="20"/>
          <w:lang w:eastAsia="zh-CN"/>
        </w:rPr>
        <w:t xml:space="preserve">is provided by BSs </w:t>
      </w:r>
      <w:r w:rsidRPr="00CB68C4">
        <w:rPr>
          <w:rFonts w:ascii="Times New Roman" w:hAnsi="Times New Roman"/>
          <w:b/>
          <w:bCs/>
          <w:sz w:val="20"/>
          <w:lang w:eastAsia="zh-CN"/>
        </w:rPr>
        <w:t>with a common value</w:t>
      </w:r>
      <w:r>
        <w:rPr>
          <w:rFonts w:ascii="Times New Roman" w:hAnsi="Times New Roman"/>
          <w:bCs/>
          <w:sz w:val="20"/>
          <w:lang w:eastAsia="zh-CN"/>
        </w:rPr>
        <w:t xml:space="preserve"> for the corresponding V2X frequency layer to derive the common SL timing on the V2X frequency layer from the current serving cell timing based on a common reference GNSS timing.</w:t>
      </w:r>
    </w:p>
    <w:p w14:paraId="65CAFF10" w14:textId="6CEA9FEC"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val="en-GB" w:eastAsia="zh-CN"/>
        </w:rPr>
        <w:t>Scenario 3</w:t>
      </w:r>
      <w:r>
        <w:rPr>
          <w:rFonts w:ascii="Times New Roman" w:hAnsi="Times New Roman"/>
          <w:bCs/>
          <w:sz w:val="20"/>
          <w:lang w:val="en-GB" w:eastAsia="zh-CN"/>
        </w:rPr>
        <w:t xml:space="preserve">: </w:t>
      </w:r>
      <w:r>
        <w:rPr>
          <w:rFonts w:ascii="Times New Roman" w:hAnsi="Times New Roman"/>
          <w:bCs/>
          <w:sz w:val="20"/>
          <w:lang w:eastAsia="zh-CN"/>
        </w:rPr>
        <w:t>UEs are synced to GNSS and/or intra/inter-frequency BSs wherein BSs are asynced within the same frequency layer.</w:t>
      </w:r>
    </w:p>
    <w:p w14:paraId="709F86C2" w14:textId="4B89BDFB" w:rsidR="00CB68C4" w:rsidRPr="00CB68C4" w:rsidRDefault="00CB68C4" w:rsidP="00CB68C4">
      <w:pPr>
        <w:pStyle w:val="ListParagraph"/>
        <w:numPr>
          <w:ilvl w:val="1"/>
          <w:numId w:val="26"/>
        </w:numPr>
        <w:jc w:val="both"/>
        <w:rPr>
          <w:rFonts w:ascii="Times New Roman" w:hAnsi="Times New Roman"/>
          <w:bCs/>
          <w:sz w:val="20"/>
          <w:lang w:eastAsia="zh-CN"/>
        </w:rPr>
      </w:pPr>
      <w:r w:rsidRPr="00CB68C4">
        <w:rPr>
          <w:rFonts w:ascii="Times New Roman" w:hAnsi="Times New Roman"/>
          <w:bCs/>
          <w:sz w:val="20"/>
          <w:lang w:eastAsia="zh-CN"/>
        </w:rPr>
        <w:t>Solution</w:t>
      </w:r>
      <w:r>
        <w:rPr>
          <w:rFonts w:ascii="Times New Roman" w:hAnsi="Times New Roman"/>
          <w:bCs/>
          <w:sz w:val="20"/>
          <w:lang w:eastAsia="zh-CN"/>
        </w:rPr>
        <w:t>: T</w:t>
      </w:r>
      <w:r w:rsidRPr="00CB68C4">
        <w:rPr>
          <w:rFonts w:ascii="Times New Roman" w:hAnsi="Times New Roman"/>
          <w:bCs/>
          <w:sz w:val="20"/>
          <w:lang w:eastAsia="zh-CN"/>
        </w:rPr>
        <w:t xml:space="preserve">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sidRPr="00CB68C4">
        <w:rPr>
          <w:rFonts w:ascii="Times New Roman" w:hAnsi="Times New Roman"/>
          <w:bCs/>
          <w:sz w:val="20"/>
          <w:lang w:eastAsia="zh-CN"/>
        </w:rPr>
        <w:t xml:space="preserve">is provided by BSs </w:t>
      </w:r>
      <w:r w:rsidRPr="00CB68C4">
        <w:rPr>
          <w:rFonts w:ascii="Times New Roman" w:hAnsi="Times New Roman"/>
          <w:b/>
          <w:bCs/>
          <w:sz w:val="20"/>
          <w:lang w:eastAsia="zh-CN"/>
        </w:rPr>
        <w:t>with a cell specific value</w:t>
      </w:r>
      <w:r w:rsidRPr="00CB68C4">
        <w:rPr>
          <w:rFonts w:ascii="Times New Roman" w:hAnsi="Times New Roman"/>
          <w:bCs/>
          <w:sz w:val="20"/>
          <w:lang w:eastAsia="zh-CN"/>
        </w:rPr>
        <w:t xml:space="preserve"> for the corresponding V2X frequency layer to derive the common SL timing on the V2X frequency layer</w:t>
      </w:r>
      <w:r>
        <w:rPr>
          <w:rFonts w:ascii="Times New Roman" w:hAnsi="Times New Roman"/>
          <w:bCs/>
          <w:sz w:val="20"/>
          <w:lang w:eastAsia="zh-CN"/>
        </w:rPr>
        <w:t xml:space="preserve"> from the current serving cell timing</w:t>
      </w:r>
      <w:r w:rsidRPr="00CB68C4">
        <w:rPr>
          <w:rFonts w:ascii="Times New Roman" w:hAnsi="Times New Roman"/>
          <w:bCs/>
          <w:sz w:val="20"/>
          <w:lang w:eastAsia="zh-CN"/>
        </w:rPr>
        <w:t xml:space="preserve"> based on a common reference GNSS timing.</w:t>
      </w:r>
    </w:p>
    <w:p w14:paraId="63B94B86" w14:textId="59FA5329" w:rsidR="00CB68C4" w:rsidRDefault="00F6604C" w:rsidP="00791397">
      <w:pPr>
        <w:rPr>
          <w:bCs/>
          <w:lang w:eastAsia="zh-CN"/>
        </w:rPr>
      </w:pPr>
      <w:r>
        <w:rPr>
          <w:bCs/>
          <w:lang w:eastAsia="zh-CN"/>
        </w:rPr>
        <w:t>We should at least address Scenario 2 for UEs synced to the gNBs in the different frequency layers without synchroinization.</w:t>
      </w:r>
    </w:p>
    <w:p w14:paraId="020E344D" w14:textId="0E08AE41" w:rsidR="00CB68C4" w:rsidRPr="00791397" w:rsidRDefault="00A56213" w:rsidP="00CB68C4">
      <w:pPr>
        <w:pStyle w:val="Caption"/>
        <w:jc w:val="both"/>
        <w:rPr>
          <w:b w:val="0"/>
          <w:bCs w:val="0"/>
        </w:rPr>
      </w:pPr>
      <w:bookmarkStart w:id="4" w:name="_Ref15833618"/>
      <w:r w:rsidRPr="006C210E">
        <w:t xml:space="preserve">Proposal </w:t>
      </w:r>
      <w:r w:rsidR="00464288">
        <w:fldChar w:fldCharType="begin"/>
      </w:r>
      <w:r w:rsidR="00464288">
        <w:instrText xml:space="preserve"> SEQ Proposal \* ARABIC </w:instrText>
      </w:r>
      <w:r w:rsidR="00464288">
        <w:fldChar w:fldCharType="separate"/>
      </w:r>
      <w:r w:rsidR="00F6604C">
        <w:rPr>
          <w:noProof/>
        </w:rPr>
        <w:t>3</w:t>
      </w:r>
      <w:r w:rsidR="00464288">
        <w:rPr>
          <w:noProof/>
        </w:rPr>
        <w:fldChar w:fldCharType="end"/>
      </w:r>
      <w:r w:rsidRPr="00AF536F">
        <w:t xml:space="preserve">: </w:t>
      </w:r>
      <w:r w:rsidR="00F6604C">
        <w:t>For Scenario 2</w:t>
      </w:r>
      <w:r w:rsidR="00CB68C4">
        <w:t xml:space="preserve"> (i.e., </w:t>
      </w:r>
      <w:r w:rsidR="00F6604C" w:rsidRPr="00F6604C">
        <w:t>UEs are synced to GNSS and/or</w:t>
      </w:r>
      <w:r w:rsidR="00F6604C">
        <w:t xml:space="preserve"> gNBs in the different frequency layers </w:t>
      </w:r>
      <w:r w:rsidR="00F6604C" w:rsidRPr="00F6604C">
        <w:t xml:space="preserve">wherein </w:t>
      </w:r>
      <w:r w:rsidR="00F6604C">
        <w:t>gNBs</w:t>
      </w:r>
      <w:r w:rsidR="00F6604C" w:rsidRPr="00F6604C">
        <w:t xml:space="preserve"> are synced within the same frequency layer but asynced acro</w:t>
      </w:r>
      <w:r w:rsidR="00F6604C">
        <w:t xml:space="preserve">ss the frequency layers), </w:t>
      </w:r>
      <w:r w:rsidR="00CB68C4">
        <w:t>t</w:t>
      </w:r>
      <w:r w:rsidR="00CB68C4" w:rsidRPr="00CB68C4">
        <w:t xml:space="preserve">he new signaling, </w:t>
      </w:r>
      <w:r w:rsidR="00F6604C">
        <w:t xml:space="preserve">e.g., </w:t>
      </w:r>
      <w:r w:rsidR="00CB68C4" w:rsidRPr="00CB68C4">
        <w:lastRenderedPageBreak/>
        <w:t>OffsetCom</w:t>
      </w:r>
      <w:r w:rsidR="00F6604C">
        <w:t xml:space="preserve">monGNSS </w:t>
      </w:r>
      <w:r w:rsidR="00CB68C4" w:rsidRPr="00CB68C4">
        <w:t xml:space="preserve">, </w:t>
      </w:r>
      <w:r w:rsidR="00F6604C">
        <w:t>should be</w:t>
      </w:r>
      <w:r w:rsidR="00CB68C4" w:rsidRPr="00CB68C4">
        <w:t xml:space="preserve"> provided by </w:t>
      </w:r>
      <w:r w:rsidR="00F6604C">
        <w:t>gNBs</w:t>
      </w:r>
      <w:r w:rsidR="00CB68C4" w:rsidRPr="00CB68C4">
        <w:t xml:space="preserve"> for the corresponding V2X frequency layer to derive the common SL timing based on a common reference GNSS timing.</w:t>
      </w:r>
      <w:bookmarkStart w:id="5" w:name="_Ref15833621"/>
      <w:bookmarkEnd w:id="4"/>
    </w:p>
    <w:bookmarkEnd w:id="5"/>
    <w:p w14:paraId="75F90DD0" w14:textId="4F8E60DD" w:rsidR="00A56213" w:rsidRDefault="00A56213" w:rsidP="00791397">
      <w:pPr>
        <w:rPr>
          <w:b/>
          <w:bCs/>
        </w:rPr>
      </w:pPr>
    </w:p>
    <w:p w14:paraId="66AB97BD" w14:textId="16291C18" w:rsidR="002B465A" w:rsidRDefault="00B3166B" w:rsidP="002B465A">
      <w:pPr>
        <w:pStyle w:val="Heading1"/>
        <w:ind w:left="426"/>
        <w:rPr>
          <w:lang w:eastAsia="zh-CN"/>
        </w:rPr>
      </w:pPr>
      <w:r>
        <w:rPr>
          <w:lang w:eastAsia="zh-CN"/>
        </w:rPr>
        <w:t>(</w:t>
      </w:r>
      <w:r w:rsidR="002B465A">
        <w:rPr>
          <w:lang w:eastAsia="zh-CN"/>
        </w:rPr>
        <w:t>Re</w:t>
      </w:r>
      <w:r>
        <w:rPr>
          <w:lang w:eastAsia="zh-CN"/>
        </w:rPr>
        <w:t>-)</w:t>
      </w:r>
      <w:r w:rsidR="002B465A">
        <w:rPr>
          <w:lang w:eastAsia="zh-CN"/>
        </w:rPr>
        <w:t xml:space="preserve">selection </w:t>
      </w:r>
      <w:r>
        <w:rPr>
          <w:lang w:eastAsia="zh-CN"/>
        </w:rPr>
        <w:t xml:space="preserve">of </w:t>
      </w:r>
      <w:r w:rsidR="00CB68C4">
        <w:rPr>
          <w:lang w:eastAsia="zh-CN"/>
        </w:rPr>
        <w:t xml:space="preserve">SyncRef </w:t>
      </w:r>
      <w:r w:rsidR="002B465A">
        <w:rPr>
          <w:lang w:eastAsia="zh-CN"/>
        </w:rPr>
        <w:t>in EN-DC/NE-DC network</w:t>
      </w:r>
    </w:p>
    <w:p w14:paraId="05AF751A" w14:textId="582E7F6B" w:rsidR="002B465A" w:rsidRDefault="002B465A" w:rsidP="002B465A">
      <w:pPr>
        <w:rPr>
          <w:rFonts w:asciiTheme="minorHAnsi" w:hAnsiTheme="minorHAnsi"/>
          <w:sz w:val="21"/>
          <w:lang w:val="en-GB"/>
        </w:rPr>
      </w:pPr>
      <w:r>
        <w:rPr>
          <w:lang w:val="en-GB"/>
        </w:rPr>
        <w:t>In legacy LTE, when UE selects a cell used for synchronization reference and DL measurements, UE should select the intra-frequency cell within the frequency used to transmit the V2X sidelink communication when UE is in coverage of the frequency. Otherwise, UE will select the PCell or the serving cell as synchroniz</w:t>
      </w:r>
      <w:r w:rsidR="00F714E2">
        <w:rPr>
          <w:lang w:val="en-GB"/>
        </w:rPr>
        <w:t>ation reference when UE is out of</w:t>
      </w:r>
      <w:r>
        <w:rPr>
          <w:lang w:val="en-GB"/>
        </w:rPr>
        <w:t xml:space="preserve"> coverage.</w:t>
      </w:r>
    </w:p>
    <w:tbl>
      <w:tblPr>
        <w:tblStyle w:val="TableGrid"/>
        <w:tblW w:w="0" w:type="auto"/>
        <w:tblLook w:val="04A0" w:firstRow="1" w:lastRow="0" w:firstColumn="1" w:lastColumn="0" w:noHBand="0" w:noVBand="1"/>
      </w:tblPr>
      <w:tblGrid>
        <w:gridCol w:w="9629"/>
      </w:tblGrid>
      <w:tr w:rsidR="002B465A" w14:paraId="32C8BDFF" w14:textId="77777777" w:rsidTr="002B465A">
        <w:tc>
          <w:tcPr>
            <w:tcW w:w="9629" w:type="dxa"/>
            <w:tcBorders>
              <w:top w:val="single" w:sz="4" w:space="0" w:color="auto"/>
              <w:left w:val="single" w:sz="4" w:space="0" w:color="auto"/>
              <w:bottom w:val="single" w:sz="4" w:space="0" w:color="auto"/>
              <w:right w:val="single" w:sz="4" w:space="0" w:color="auto"/>
            </w:tcBorders>
            <w:hideMark/>
          </w:tcPr>
          <w:p w14:paraId="372C0923" w14:textId="77777777" w:rsidR="002B465A" w:rsidRDefault="002B465A">
            <w:pPr>
              <w:rPr>
                <w:color w:val="000000"/>
                <w:lang w:eastAsia="zh-CN"/>
              </w:rPr>
            </w:pPr>
            <w:r>
              <w:rPr>
                <w:color w:val="000000"/>
              </w:rPr>
              <w:t xml:space="preserve">A UE capable of V2X sidelink communication that is configured by upper layers to transmit V2X sidelink communication shall: </w:t>
            </w:r>
          </w:p>
          <w:p w14:paraId="2F676160" w14:textId="77777777" w:rsidR="002B465A" w:rsidRDefault="002B465A">
            <w:pPr>
              <w:rPr>
                <w:color w:val="000000"/>
              </w:rPr>
            </w:pPr>
            <w:r>
              <w:rPr>
                <w:color w:val="000000"/>
              </w:rPr>
              <w:t xml:space="preserve">1&gt; for each frequency used to transmit V2X sidelink communication, select a cell to be used as reference for synchronisation and DL measurements in accordance with the following: </w:t>
            </w:r>
          </w:p>
          <w:p w14:paraId="2C0F7BAA" w14:textId="77777777" w:rsidR="002B465A" w:rsidRDefault="002B465A">
            <w:pPr>
              <w:ind w:left="284"/>
              <w:rPr>
                <w:color w:val="000000"/>
              </w:rPr>
            </w:pPr>
            <w:r>
              <w:rPr>
                <w:color w:val="000000"/>
              </w:rPr>
              <w:t xml:space="preserve">2&gt; if the frequency concerns the primary frequency: </w:t>
            </w:r>
          </w:p>
          <w:p w14:paraId="6907EFCA" w14:textId="77777777" w:rsidR="002B465A" w:rsidRDefault="002B465A">
            <w:pPr>
              <w:ind w:left="568"/>
              <w:rPr>
                <w:color w:val="000000"/>
              </w:rPr>
            </w:pPr>
            <w:r>
              <w:rPr>
                <w:color w:val="000000"/>
              </w:rPr>
              <w:t xml:space="preserve">3&gt; use the PCell (RRC_CONNECTED) or the serving cell (RRC_IDLE) as reference; </w:t>
            </w:r>
          </w:p>
          <w:p w14:paraId="7086F9B6" w14:textId="77777777" w:rsidR="002B465A" w:rsidRDefault="002B465A">
            <w:pPr>
              <w:ind w:left="284"/>
              <w:rPr>
                <w:color w:val="000000"/>
              </w:rPr>
            </w:pPr>
            <w:r>
              <w:rPr>
                <w:color w:val="000000"/>
              </w:rPr>
              <w:t xml:space="preserve">2&gt; else if the frequency concerns a secondary frequency: </w:t>
            </w:r>
          </w:p>
          <w:p w14:paraId="0526B973" w14:textId="77777777" w:rsidR="002B465A" w:rsidRDefault="002B465A">
            <w:pPr>
              <w:ind w:left="568"/>
              <w:rPr>
                <w:color w:val="000000"/>
              </w:rPr>
            </w:pPr>
            <w:r>
              <w:rPr>
                <w:color w:val="000000"/>
              </w:rPr>
              <w:t xml:space="preserve">3&gt; use the concerned SCell as reference; </w:t>
            </w:r>
          </w:p>
          <w:p w14:paraId="39A52DD8" w14:textId="77777777" w:rsidR="002B465A" w:rsidRDefault="002B465A">
            <w:pPr>
              <w:ind w:left="284"/>
              <w:rPr>
                <w:color w:val="000000"/>
              </w:rPr>
            </w:pPr>
            <w:r>
              <w:rPr>
                <w:color w:val="000000"/>
              </w:rPr>
              <w:t xml:space="preserve">2&gt; else if the UE is in coverage of the concerned frequency: </w:t>
            </w:r>
          </w:p>
          <w:p w14:paraId="10DC92BC" w14:textId="77777777" w:rsidR="002B465A" w:rsidRDefault="002B465A">
            <w:pPr>
              <w:ind w:left="568"/>
              <w:rPr>
                <w:color w:val="000000"/>
              </w:rPr>
            </w:pPr>
            <w:r>
              <w:rPr>
                <w:color w:val="000000"/>
              </w:rPr>
              <w:t xml:space="preserve">3&gt; use the DL frequency paired with the one used to transmit V2X sidelink communication as reference; </w:t>
            </w:r>
          </w:p>
          <w:p w14:paraId="78F5F2E9" w14:textId="77777777" w:rsidR="002B465A" w:rsidRDefault="002B465A">
            <w:pPr>
              <w:ind w:left="284"/>
              <w:rPr>
                <w:color w:val="000000"/>
              </w:rPr>
            </w:pPr>
            <w:r>
              <w:rPr>
                <w:color w:val="000000"/>
              </w:rPr>
              <w:t xml:space="preserve">2&gt; else (i.e., out of coverage on the concerned frequency): </w:t>
            </w:r>
          </w:p>
          <w:p w14:paraId="0E74D2D4" w14:textId="77777777" w:rsidR="002B465A" w:rsidRDefault="002B465A">
            <w:pPr>
              <w:ind w:left="568"/>
              <w:rPr>
                <w:rFonts w:asciiTheme="minorHAnsi" w:eastAsiaTheme="minorEastAsia" w:hAnsiTheme="minorHAnsi" w:cstheme="minorHAnsi"/>
                <w:szCs w:val="22"/>
                <w:lang w:val="en-GB"/>
              </w:rPr>
            </w:pPr>
            <w:r>
              <w:rPr>
                <w:color w:val="000000"/>
              </w:rPr>
              <w:t>3&gt; use the PCell (RRC_CONNECTED) or the serving cell (RRC_IDLE) as reference, if needed;</w:t>
            </w:r>
          </w:p>
        </w:tc>
      </w:tr>
    </w:tbl>
    <w:p w14:paraId="5A2DB534" w14:textId="75C47D8D" w:rsidR="002B465A" w:rsidRDefault="002B465A" w:rsidP="002B465A">
      <w:pPr>
        <w:spacing w:before="120"/>
        <w:rPr>
          <w:rFonts w:asciiTheme="minorHAnsi" w:eastAsiaTheme="minorEastAsia" w:hAnsiTheme="minorHAnsi" w:cstheme="minorBidi"/>
          <w:kern w:val="2"/>
          <w:sz w:val="21"/>
          <w:szCs w:val="22"/>
        </w:rPr>
      </w:pPr>
      <w:r>
        <w:rPr>
          <w:lang w:val="en-GB"/>
        </w:rPr>
        <w:t>From RAN1’s agreement, in NR, both eNB and gNB can be the synchronization source and they’re in the same synchronization priority</w:t>
      </w:r>
      <w:r>
        <w:t xml:space="preserve">. Thus, in EN-DC/NE-DC network, there is an ambiguity on whether </w:t>
      </w:r>
      <w:r w:rsidR="00CB68C4">
        <w:t xml:space="preserve">to </w:t>
      </w:r>
      <w:r>
        <w:t xml:space="preserve">follow the above legacy LTE criteria </w:t>
      </w:r>
      <w:r w:rsidR="00CB68C4">
        <w:t>by always selecting</w:t>
      </w:r>
      <w:r>
        <w:t xml:space="preserve"> the PCell as the </w:t>
      </w:r>
      <w:r>
        <w:rPr>
          <w:lang w:val="en-GB"/>
        </w:rPr>
        <w:t>synchronization source in DC scenario</w:t>
      </w:r>
      <w:r>
        <w:t>.</w:t>
      </w:r>
    </w:p>
    <w:p w14:paraId="268D765E" w14:textId="6C5F511E" w:rsidR="002B465A" w:rsidRDefault="002B465A" w:rsidP="002B465A">
      <w:pPr>
        <w:spacing w:before="120"/>
      </w:pPr>
      <w:r>
        <w:t xml:space="preserve">One possible option is that UE will always </w:t>
      </w:r>
      <w:r w:rsidR="00CB68C4">
        <w:t>select</w:t>
      </w:r>
      <w:r>
        <w:t xml:space="preserve"> gNB cell as the synchronization source because the timing requirement for gNB </w:t>
      </w:r>
      <w:r w:rsidR="00B3166B">
        <w:t xml:space="preserve">defined by RAN4 </w:t>
      </w:r>
      <w:r>
        <w:t xml:space="preserve">is better than eNB. UE can obtain better timing based on </w:t>
      </w:r>
      <w:r w:rsidR="00B3166B">
        <w:t xml:space="preserve">the </w:t>
      </w:r>
      <w:r>
        <w:t xml:space="preserve">gNB cell. </w:t>
      </w:r>
    </w:p>
    <w:p w14:paraId="1C02ABE6" w14:textId="3417D090" w:rsidR="002B465A" w:rsidRDefault="002B465A" w:rsidP="002B465A">
      <w:pPr>
        <w:spacing w:before="120"/>
      </w:pPr>
      <w:r>
        <w:t xml:space="preserve">Another option is that UE should </w:t>
      </w:r>
      <w:r w:rsidR="00CB68C4">
        <w:t>select</w:t>
      </w:r>
      <w:r>
        <w:t xml:space="preserve"> the cell with better RSRP because the cell with better RSRP is more reliable. For example, there is an EN-DC network in</w:t>
      </w:r>
      <w:r w:rsidR="00CB68C4">
        <w:t xml:space="preserve"> </w:t>
      </w:r>
      <w:r w:rsidR="00CB68C4">
        <w:fldChar w:fldCharType="begin"/>
      </w:r>
      <w:r w:rsidR="00CB68C4">
        <w:instrText xml:space="preserve"> REF _Ref32668567 \h </w:instrText>
      </w:r>
      <w:r w:rsidR="00CB68C4">
        <w:fldChar w:fldCharType="separate"/>
      </w:r>
      <w:r w:rsidR="00F6604C" w:rsidRPr="00B3166B">
        <w:rPr>
          <w:b/>
        </w:rPr>
        <w:t xml:space="preserve">Figure </w:t>
      </w:r>
      <w:r w:rsidR="00F6604C">
        <w:rPr>
          <w:b/>
          <w:noProof/>
        </w:rPr>
        <w:t>1</w:t>
      </w:r>
      <w:r w:rsidR="00CB68C4">
        <w:fldChar w:fldCharType="end"/>
      </w:r>
      <w:r>
        <w:t xml:space="preserve">. RSRP of gNB(PSCell) is obviously better than the RSRP of eNB(PCell) for UE-2. If UE only selects the synchronization source based on PCell, UE2 will miss the better synchronization source(gNB).   </w:t>
      </w:r>
    </w:p>
    <w:p w14:paraId="2D894F6D" w14:textId="40F8015C" w:rsidR="002B465A" w:rsidRDefault="002B465A" w:rsidP="002B465A">
      <w:r>
        <w:t>If SLSS transmission is based on PCell’s RSRP, UE-2 will transmit the SLSS. However, UE</w:t>
      </w:r>
      <w:r w:rsidR="00CB68C4">
        <w:t xml:space="preserve">-2, close to gNB, doesn’t </w:t>
      </w:r>
      <w:r>
        <w:t xml:space="preserve">need to transmit the SLSS based on PSCell’s RSRP. SyncRef UE as sync source to transmit SLSS is a supplement mechanism of gNB/eNB as sync source and has lower synchronization priority. The system should be designed to minimize the need to transmit S-SSB, because it could increase the additional interference in the SLSS resources. Thus, it’s not preferred to </w:t>
      </w:r>
      <w:r w:rsidR="00CB68C4">
        <w:t>require</w:t>
      </w:r>
      <w:r>
        <w:t xml:space="preserve"> UE-2 to transmit the SLSS. </w:t>
      </w:r>
    </w:p>
    <w:p w14:paraId="07B8DD45" w14:textId="5E0D2824" w:rsidR="002B465A" w:rsidRDefault="002B465A" w:rsidP="002B465A">
      <w:r>
        <w:lastRenderedPageBreak/>
        <w:t xml:space="preserve">The third option is that UE will always choose fixed base station (e.g., always NR gNB) as synchronization source when both gNB and eNB’s RSRP are good enough because the timing requirement for gNB is better than eNB. But when any of cell’s RSRP is lower than the threshold, it could believe this cell is unreliable. For example, in the </w:t>
      </w:r>
      <w:r w:rsidR="00CB68C4">
        <w:fldChar w:fldCharType="begin"/>
      </w:r>
      <w:r w:rsidR="00CB68C4">
        <w:instrText xml:space="preserve"> REF _Ref32668567 \h </w:instrText>
      </w:r>
      <w:r w:rsidR="00CB68C4">
        <w:fldChar w:fldCharType="separate"/>
      </w:r>
      <w:r w:rsidR="00F6604C" w:rsidRPr="00B3166B">
        <w:rPr>
          <w:b/>
        </w:rPr>
        <w:t xml:space="preserve">Figure </w:t>
      </w:r>
      <w:r w:rsidR="00F6604C">
        <w:rPr>
          <w:b/>
          <w:noProof/>
        </w:rPr>
        <w:t>1</w:t>
      </w:r>
      <w:r w:rsidR="00CB68C4">
        <w:fldChar w:fldCharType="end"/>
      </w:r>
      <w:r>
        <w:t xml:space="preserve">, both gNB and eNB’s RSRP to UE1 would be worse than a RSRP threshold. In this case, UE will always </w:t>
      </w:r>
      <w:r w:rsidR="00CB68C4">
        <w:t>select</w:t>
      </w:r>
      <w:r>
        <w:t xml:space="preserve"> the cell with better RSRP.</w:t>
      </w:r>
    </w:p>
    <w:p w14:paraId="5A0D5D48" w14:textId="68E78711" w:rsidR="002B465A" w:rsidRDefault="002B465A" w:rsidP="002B465A">
      <w:pPr>
        <w:jc w:val="center"/>
      </w:pPr>
      <w:r>
        <w:rPr>
          <w:noProof/>
          <w:lang w:eastAsia="zh-CN"/>
        </w:rPr>
        <w:drawing>
          <wp:inline distT="0" distB="0" distL="0" distR="0" wp14:anchorId="3E812E13" wp14:editId="048B23C2">
            <wp:extent cx="3248025" cy="1685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8025" cy="1685290"/>
                    </a:xfrm>
                    <a:prstGeom prst="rect">
                      <a:avLst/>
                    </a:prstGeom>
                    <a:noFill/>
                    <a:ln>
                      <a:noFill/>
                    </a:ln>
                  </pic:spPr>
                </pic:pic>
              </a:graphicData>
            </a:graphic>
          </wp:inline>
        </w:drawing>
      </w:r>
    </w:p>
    <w:p w14:paraId="4DC07C5B" w14:textId="45EDF5E4" w:rsidR="002B465A" w:rsidRPr="00B3166B" w:rsidRDefault="00B3166B" w:rsidP="002B465A">
      <w:pPr>
        <w:jc w:val="center"/>
        <w:rPr>
          <w:b/>
          <w:lang w:eastAsia="zh-CN"/>
        </w:rPr>
      </w:pPr>
      <w:bookmarkStart w:id="6" w:name="_Ref32668567"/>
      <w:r w:rsidRPr="00B3166B">
        <w:rPr>
          <w:b/>
        </w:rPr>
        <w:t xml:space="preserve">Figure </w:t>
      </w:r>
      <w:r w:rsidRPr="00B3166B">
        <w:rPr>
          <w:b/>
        </w:rPr>
        <w:fldChar w:fldCharType="begin"/>
      </w:r>
      <w:r w:rsidRPr="00B3166B">
        <w:rPr>
          <w:b/>
        </w:rPr>
        <w:instrText xml:space="preserve"> SEQ Figure \* ARABIC </w:instrText>
      </w:r>
      <w:r w:rsidRPr="00B3166B">
        <w:rPr>
          <w:b/>
        </w:rPr>
        <w:fldChar w:fldCharType="separate"/>
      </w:r>
      <w:r w:rsidR="00F6604C">
        <w:rPr>
          <w:b/>
          <w:noProof/>
        </w:rPr>
        <w:t>1</w:t>
      </w:r>
      <w:r w:rsidRPr="00B3166B">
        <w:rPr>
          <w:b/>
          <w:noProof/>
        </w:rPr>
        <w:fldChar w:fldCharType="end"/>
      </w:r>
      <w:bookmarkEnd w:id="6"/>
      <w:r w:rsidRPr="00B3166B">
        <w:rPr>
          <w:b/>
        </w:rPr>
        <w:t xml:space="preserve">. </w:t>
      </w:r>
      <w:r w:rsidR="002B465A" w:rsidRPr="00B3166B">
        <w:rPr>
          <w:b/>
        </w:rPr>
        <w:t>An example of S-SSB transmission in an EN-DC scenario</w:t>
      </w:r>
    </w:p>
    <w:p w14:paraId="6C6F89CB" w14:textId="62EEEC02" w:rsidR="002B465A" w:rsidRPr="00B3166B" w:rsidRDefault="002B465A" w:rsidP="002B465A">
      <w:pPr>
        <w:rPr>
          <w:b/>
        </w:rPr>
      </w:pPr>
      <w:bookmarkStart w:id="7" w:name="_Ref20669724"/>
      <w:bookmarkStart w:id="8" w:name="_Ref24202084"/>
      <w:bookmarkStart w:id="9" w:name="_Ref19958513"/>
      <w:r w:rsidRPr="00B3166B">
        <w:rPr>
          <w:b/>
        </w:rPr>
        <w:t xml:space="preserve">Observation </w:t>
      </w:r>
      <w:r w:rsidR="00464288">
        <w:fldChar w:fldCharType="begin"/>
      </w:r>
      <w:r w:rsidR="00464288">
        <w:instrText xml:space="preserve"> SEQ Observation \* ARABIC </w:instrText>
      </w:r>
      <w:r w:rsidR="00464288">
        <w:fldChar w:fldCharType="separate"/>
      </w:r>
      <w:r w:rsidR="00F6604C">
        <w:rPr>
          <w:noProof/>
        </w:rPr>
        <w:t>1</w:t>
      </w:r>
      <w:r w:rsidR="00464288">
        <w:rPr>
          <w:noProof/>
        </w:rPr>
        <w:fldChar w:fldCharType="end"/>
      </w:r>
      <w:r w:rsidRPr="00B3166B">
        <w:rPr>
          <w:b/>
        </w:rPr>
        <w:t xml:space="preserve">: </w:t>
      </w:r>
      <w:r w:rsidR="00B3166B">
        <w:rPr>
          <w:b/>
        </w:rPr>
        <w:t>T</w:t>
      </w:r>
      <w:r w:rsidRPr="00B3166B">
        <w:rPr>
          <w:b/>
        </w:rPr>
        <w:t xml:space="preserve">he rule of </w:t>
      </w:r>
      <w:r w:rsidR="00B3166B">
        <w:rPr>
          <w:b/>
        </w:rPr>
        <w:t>selecting the</w:t>
      </w:r>
      <w:r w:rsidRPr="00B3166B">
        <w:rPr>
          <w:b/>
        </w:rPr>
        <w:t xml:space="preserve"> synchronous reference source is ambiguous </w:t>
      </w:r>
      <w:r w:rsidR="00B3166B">
        <w:rPr>
          <w:b/>
        </w:rPr>
        <w:t xml:space="preserve">for UEs with </w:t>
      </w:r>
      <w:r w:rsidRPr="00B3166B">
        <w:rPr>
          <w:b/>
        </w:rPr>
        <w:t>EN</w:t>
      </w:r>
      <w:r w:rsidR="00B3166B">
        <w:rPr>
          <w:b/>
        </w:rPr>
        <w:t>/NE-DC operation</w:t>
      </w:r>
      <w:bookmarkEnd w:id="7"/>
      <w:r w:rsidR="00B3166B">
        <w:rPr>
          <w:b/>
        </w:rPr>
        <w:t>s.</w:t>
      </w:r>
      <w:bookmarkEnd w:id="8"/>
    </w:p>
    <w:p w14:paraId="534E88AE" w14:textId="096BE95A" w:rsidR="002B465A" w:rsidRPr="00B3166B" w:rsidRDefault="002B465A" w:rsidP="002B465A">
      <w:pPr>
        <w:rPr>
          <w:b/>
        </w:rPr>
      </w:pPr>
      <w:bookmarkStart w:id="10" w:name="_Ref20670058"/>
      <w:bookmarkStart w:id="11" w:name="_Ref24202106"/>
      <w:r w:rsidRPr="00B3166B">
        <w:rPr>
          <w:b/>
        </w:rPr>
        <w:t xml:space="preserve">Proposal </w:t>
      </w:r>
      <w:r w:rsidRPr="00B3166B">
        <w:fldChar w:fldCharType="begin"/>
      </w:r>
      <w:r w:rsidRPr="00B3166B">
        <w:rPr>
          <w:b/>
        </w:rPr>
        <w:instrText xml:space="preserve"> SEQ Proposal \* ARABIC </w:instrText>
      </w:r>
      <w:r w:rsidRPr="00B3166B">
        <w:fldChar w:fldCharType="separate"/>
      </w:r>
      <w:r w:rsidR="00F6604C">
        <w:rPr>
          <w:b/>
          <w:noProof/>
        </w:rPr>
        <w:t>4</w:t>
      </w:r>
      <w:r w:rsidRPr="00B3166B">
        <w:fldChar w:fldCharType="end"/>
      </w:r>
      <w:r w:rsidRPr="00B3166B">
        <w:rPr>
          <w:b/>
        </w:rPr>
        <w:t xml:space="preserve">: </w:t>
      </w:r>
      <w:r w:rsidR="00B3166B" w:rsidRPr="00B3166B">
        <w:rPr>
          <w:b/>
        </w:rPr>
        <w:t xml:space="preserve">UEs in </w:t>
      </w:r>
      <w:bookmarkStart w:id="12" w:name="_Ref19958516"/>
      <w:bookmarkEnd w:id="9"/>
      <w:bookmarkEnd w:id="10"/>
      <w:r w:rsidR="00B3166B" w:rsidRPr="00B3166B">
        <w:rPr>
          <w:b/>
        </w:rPr>
        <w:t>the EN/NE-DC operation</w:t>
      </w:r>
      <w:r w:rsidRPr="00B3166B">
        <w:rPr>
          <w:b/>
        </w:rPr>
        <w:t xml:space="preserve"> shall </w:t>
      </w:r>
      <w:r w:rsidR="00B3166B" w:rsidRPr="00B3166B">
        <w:rPr>
          <w:b/>
        </w:rPr>
        <w:t xml:space="preserve">always select </w:t>
      </w:r>
      <w:r w:rsidRPr="00B3166B">
        <w:rPr>
          <w:b/>
        </w:rPr>
        <w:t>gNB</w:t>
      </w:r>
      <w:r w:rsidR="00B3166B" w:rsidRPr="00B3166B">
        <w:rPr>
          <w:b/>
        </w:rPr>
        <w:t xml:space="preserve"> (or always select eNB</w:t>
      </w:r>
      <w:r w:rsidRPr="00B3166B">
        <w:rPr>
          <w:b/>
        </w:rPr>
        <w:t>) as synchronization reference source</w:t>
      </w:r>
      <w:r w:rsidR="00B3166B" w:rsidRPr="00B3166B">
        <w:rPr>
          <w:b/>
        </w:rPr>
        <w:t xml:space="preserve"> by (pre-)configuration</w:t>
      </w:r>
      <w:r w:rsidRPr="00B3166B">
        <w:rPr>
          <w:b/>
        </w:rPr>
        <w:t xml:space="preserve"> when both PCell and PSCell’s RSRP values are </w:t>
      </w:r>
      <w:r w:rsidR="00B3166B" w:rsidRPr="00B3166B">
        <w:rPr>
          <w:b/>
        </w:rPr>
        <w:t>higher</w:t>
      </w:r>
      <w:r w:rsidRPr="00B3166B">
        <w:rPr>
          <w:b/>
        </w:rPr>
        <w:t xml:space="preserve"> than a threshold </w:t>
      </w:r>
      <w:r w:rsidR="00B3166B" w:rsidRPr="00B3166B">
        <w:rPr>
          <w:b/>
        </w:rPr>
        <w:t>(pre-)</w:t>
      </w:r>
      <w:r w:rsidRPr="00B3166B">
        <w:rPr>
          <w:b/>
        </w:rPr>
        <w:t>configured by network.</w:t>
      </w:r>
      <w:bookmarkEnd w:id="11"/>
      <w:r w:rsidRPr="00B3166B">
        <w:rPr>
          <w:b/>
        </w:rPr>
        <w:t xml:space="preserve"> </w:t>
      </w:r>
      <w:bookmarkEnd w:id="12"/>
    </w:p>
    <w:p w14:paraId="3397B419" w14:textId="77777777" w:rsidR="002B465A" w:rsidRPr="00791397" w:rsidRDefault="002B465A" w:rsidP="00791397">
      <w:pPr>
        <w:rPr>
          <w:b/>
          <w:bCs/>
        </w:rPr>
      </w:pPr>
    </w:p>
    <w:p w14:paraId="412BBE1A" w14:textId="6764B5A4" w:rsidR="008B778D" w:rsidRPr="00791397" w:rsidRDefault="00373024" w:rsidP="00791397">
      <w:pPr>
        <w:pStyle w:val="Heading1"/>
        <w:ind w:left="426"/>
        <w:rPr>
          <w:lang w:eastAsia="zh-CN"/>
        </w:rPr>
      </w:pPr>
      <w:r w:rsidRPr="00791397">
        <w:rPr>
          <w:lang w:eastAsia="zh-CN"/>
        </w:rPr>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75380AA3" w14:textId="1135A1CC" w:rsidR="00B3166B" w:rsidRPr="00B3166B" w:rsidRDefault="00B3166B" w:rsidP="00F17D8A">
      <w:pPr>
        <w:jc w:val="both"/>
        <w:rPr>
          <w:b/>
          <w:lang w:val="en-GB" w:eastAsia="zh-CN"/>
        </w:rPr>
      </w:pPr>
      <w:r w:rsidRPr="00B3166B">
        <w:rPr>
          <w:b/>
          <w:lang w:val="en-GB" w:eastAsia="zh-CN"/>
        </w:rPr>
        <w:fldChar w:fldCharType="begin"/>
      </w:r>
      <w:r w:rsidRPr="00B3166B">
        <w:rPr>
          <w:b/>
          <w:lang w:val="en-GB" w:eastAsia="zh-CN"/>
        </w:rPr>
        <w:instrText xml:space="preserve"> REF _Ref24202084 \h  \* MERGEFORMAT </w:instrText>
      </w:r>
      <w:r w:rsidRPr="00B3166B">
        <w:rPr>
          <w:b/>
          <w:lang w:val="en-GB" w:eastAsia="zh-CN"/>
        </w:rPr>
      </w:r>
      <w:r w:rsidRPr="00B3166B">
        <w:rPr>
          <w:b/>
          <w:lang w:val="en-GB" w:eastAsia="zh-CN"/>
        </w:rPr>
        <w:fldChar w:fldCharType="separate"/>
      </w:r>
      <w:r w:rsidR="00F6604C" w:rsidRPr="00B3166B">
        <w:rPr>
          <w:b/>
        </w:rPr>
        <w:t xml:space="preserve">Observation </w:t>
      </w:r>
      <w:r w:rsidR="00F6604C" w:rsidRPr="00F6604C">
        <w:rPr>
          <w:b/>
          <w:noProof/>
        </w:rPr>
        <w:t>1</w:t>
      </w:r>
      <w:r w:rsidR="00F6604C" w:rsidRPr="00B3166B">
        <w:rPr>
          <w:b/>
        </w:rPr>
        <w:t xml:space="preserve">: </w:t>
      </w:r>
      <w:r w:rsidR="00F6604C">
        <w:rPr>
          <w:b/>
        </w:rPr>
        <w:t>T</w:t>
      </w:r>
      <w:r w:rsidR="00F6604C" w:rsidRPr="00B3166B">
        <w:rPr>
          <w:b/>
        </w:rPr>
        <w:t xml:space="preserve">he rule of </w:t>
      </w:r>
      <w:r w:rsidR="00F6604C">
        <w:rPr>
          <w:b/>
        </w:rPr>
        <w:t>selecting the</w:t>
      </w:r>
      <w:r w:rsidR="00F6604C" w:rsidRPr="00B3166B">
        <w:rPr>
          <w:b/>
        </w:rPr>
        <w:t xml:space="preserve"> synchronous reference source is ambiguous </w:t>
      </w:r>
      <w:r w:rsidR="00F6604C">
        <w:rPr>
          <w:b/>
        </w:rPr>
        <w:t xml:space="preserve">for UEs with </w:t>
      </w:r>
      <w:r w:rsidR="00F6604C" w:rsidRPr="00B3166B">
        <w:rPr>
          <w:b/>
        </w:rPr>
        <w:t>EN</w:t>
      </w:r>
      <w:r w:rsidR="00F6604C">
        <w:rPr>
          <w:b/>
        </w:rPr>
        <w:t>/NE-DC operations.</w:t>
      </w:r>
      <w:r w:rsidRPr="00B3166B">
        <w:rPr>
          <w:b/>
          <w:lang w:val="en-GB" w:eastAsia="zh-CN"/>
        </w:rPr>
        <w:fldChar w:fldCharType="end"/>
      </w:r>
    </w:p>
    <w:p w14:paraId="1C1A0907" w14:textId="77777777" w:rsidR="008B778D" w:rsidRDefault="008B778D" w:rsidP="008B778D">
      <w:pPr>
        <w:jc w:val="both"/>
        <w:rPr>
          <w:lang w:val="en-GB" w:eastAsia="zh-CN"/>
        </w:rPr>
      </w:pPr>
      <w:r>
        <w:rPr>
          <w:lang w:val="en-GB" w:eastAsia="zh-CN"/>
        </w:rPr>
        <w:t>The proposals are summarized as below:</w:t>
      </w:r>
    </w:p>
    <w:p w14:paraId="5E460ABD" w14:textId="01E4B8A5" w:rsidR="000D21B5" w:rsidRDefault="000D21B5" w:rsidP="008B778D">
      <w:pPr>
        <w:jc w:val="both"/>
        <w:rPr>
          <w:b/>
          <w:lang w:val="en-GB" w:eastAsia="zh-CN"/>
        </w:rPr>
      </w:pPr>
      <w:r w:rsidRPr="000D21B5">
        <w:rPr>
          <w:b/>
          <w:lang w:val="en-GB" w:eastAsia="zh-CN"/>
        </w:rPr>
        <w:fldChar w:fldCharType="begin"/>
      </w:r>
      <w:r w:rsidRPr="000D21B5">
        <w:rPr>
          <w:b/>
          <w:lang w:val="en-GB" w:eastAsia="zh-CN"/>
        </w:rPr>
        <w:instrText xml:space="preserve"> REF _Ref37429027 \h </w:instrText>
      </w:r>
      <w:r>
        <w:rPr>
          <w:b/>
          <w:lang w:val="en-GB" w:eastAsia="zh-CN"/>
        </w:rPr>
        <w:instrText xml:space="preserve"> \* MERGEFORMAT </w:instrText>
      </w:r>
      <w:r w:rsidRPr="000D21B5">
        <w:rPr>
          <w:b/>
          <w:lang w:val="en-GB" w:eastAsia="zh-CN"/>
        </w:rPr>
      </w:r>
      <w:r w:rsidRPr="000D21B5">
        <w:rPr>
          <w:b/>
          <w:lang w:val="en-GB" w:eastAsia="zh-CN"/>
        </w:rPr>
        <w:fldChar w:fldCharType="separate"/>
      </w:r>
      <w:r w:rsidR="00F6604C" w:rsidRPr="00F6604C">
        <w:rPr>
          <w:b/>
        </w:rPr>
        <w:t xml:space="preserve">Proposal </w:t>
      </w:r>
      <w:r w:rsidR="00F6604C" w:rsidRPr="00F6604C">
        <w:rPr>
          <w:b/>
          <w:noProof/>
        </w:rPr>
        <w:t>1</w:t>
      </w:r>
      <w:r w:rsidR="00F6604C" w:rsidRPr="00F6604C">
        <w:rPr>
          <w:b/>
        </w:rPr>
        <w:t>: For the dual-period patterns with the same period for P1 and P2, UL slot indication for a reference pattern can be used to derive the UL slots for the other patterns with reduced signaling overhead.</w:t>
      </w:r>
      <w:r w:rsidRPr="000D21B5">
        <w:rPr>
          <w:b/>
          <w:lang w:val="en-GB" w:eastAsia="zh-CN"/>
        </w:rPr>
        <w:fldChar w:fldCharType="end"/>
      </w:r>
    </w:p>
    <w:p w14:paraId="099FAD4F" w14:textId="40FDB12B" w:rsidR="00F6604C" w:rsidRPr="00F6604C" w:rsidRDefault="00F6604C" w:rsidP="008B778D">
      <w:pPr>
        <w:jc w:val="both"/>
        <w:rPr>
          <w:b/>
          <w:lang w:val="en-GB" w:eastAsia="zh-CN"/>
        </w:rPr>
      </w:pPr>
      <w:r w:rsidRPr="00F6604C">
        <w:rPr>
          <w:b/>
          <w:lang w:val="en-GB" w:eastAsia="zh-CN"/>
        </w:rPr>
        <w:fldChar w:fldCharType="begin"/>
      </w:r>
      <w:r w:rsidRPr="00F6604C">
        <w:rPr>
          <w:b/>
          <w:lang w:val="en-GB" w:eastAsia="zh-CN"/>
        </w:rPr>
        <w:instrText xml:space="preserve"> REF _Ref40528726 \h </w:instrText>
      </w:r>
      <w:r w:rsidRPr="00F6604C">
        <w:rPr>
          <w:b/>
          <w:lang w:val="en-GB" w:eastAsia="zh-CN"/>
        </w:rPr>
      </w:r>
      <w:r w:rsidRPr="00F6604C">
        <w:rPr>
          <w:b/>
          <w:lang w:val="en-GB" w:eastAsia="zh-CN"/>
        </w:rPr>
        <w:instrText xml:space="preserve"> \* MERGEFORMAT </w:instrText>
      </w:r>
      <w:r w:rsidRPr="00F6604C">
        <w:rPr>
          <w:b/>
          <w:lang w:val="en-GB" w:eastAsia="zh-CN"/>
        </w:rPr>
        <w:fldChar w:fldCharType="separate"/>
      </w:r>
      <w:r w:rsidRPr="00F6604C">
        <w:rPr>
          <w:b/>
        </w:rPr>
        <w:t xml:space="preserve">Proposal </w:t>
      </w:r>
      <w:r w:rsidRPr="00F6604C">
        <w:rPr>
          <w:b/>
          <w:noProof/>
        </w:rPr>
        <w:t>2</w:t>
      </w:r>
      <w:r w:rsidRPr="00F6604C">
        <w:rPr>
          <w:b/>
        </w:rPr>
        <w:t xml:space="preserve">: </w:t>
      </w:r>
      <w:r w:rsidRPr="00F6604C">
        <w:rPr>
          <w:b/>
        </w:rPr>
        <w:t>S-SSB RSRP is measured based on S-SSS. In addition, PSBCH-DMRS can be used for S-SSB RSRP measurement optionally</w:t>
      </w:r>
      <w:r w:rsidRPr="00F6604C">
        <w:rPr>
          <w:b/>
        </w:rPr>
        <w:t>.</w:t>
      </w:r>
      <w:r w:rsidRPr="00F6604C">
        <w:rPr>
          <w:b/>
          <w:lang w:val="en-GB" w:eastAsia="zh-CN"/>
        </w:rPr>
        <w:fldChar w:fldCharType="end"/>
      </w:r>
    </w:p>
    <w:p w14:paraId="24EA6B01"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_Ref15833618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F6604C" w:rsidRPr="00F6604C">
        <w:rPr>
          <w:b/>
        </w:rPr>
        <w:t xml:space="preserve">Proposal </w:t>
      </w:r>
      <w:r w:rsidR="00F6604C" w:rsidRPr="00F6604C">
        <w:rPr>
          <w:b/>
          <w:noProof/>
        </w:rPr>
        <w:t>3</w:t>
      </w:r>
      <w:r w:rsidR="00F6604C" w:rsidRPr="00F6604C">
        <w:rPr>
          <w:b/>
        </w:rPr>
        <w:t>: For Scenario 2 (i.e., UEs are synced to GNSS and/or gNBs in the different frequency layers wherein gNBs are synced within the same frequency layer but asynced across the frequency layers), the new signaling, e.g., OffsetCommonGNSS , should be provided by gNBs for the corresponding V2X frequency layer to derive the common SL timing based on a common reference GNSS timing.</w:t>
      </w:r>
      <w:r w:rsidRPr="00CB68C4">
        <w:rPr>
          <w:b/>
          <w:lang w:val="en-GB" w:eastAsia="zh-CN"/>
        </w:rPr>
        <w:fldChar w:fldCharType="end"/>
      </w:r>
    </w:p>
    <w:p w14:paraId="7F060974" w14:textId="5017C49A" w:rsidR="00CB68C4" w:rsidRP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_Ref24202106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F6604C" w:rsidRPr="00B3166B">
        <w:rPr>
          <w:b/>
        </w:rPr>
        <w:t xml:space="preserve">Proposal </w:t>
      </w:r>
      <w:r w:rsidR="00F6604C">
        <w:rPr>
          <w:b/>
          <w:noProof/>
        </w:rPr>
        <w:t>4</w:t>
      </w:r>
      <w:r w:rsidR="00F6604C" w:rsidRPr="00B3166B">
        <w:rPr>
          <w:b/>
        </w:rPr>
        <w:t>: UEs in the EN/NE-DC operation shall always select gNB (or always select eNB) as synchronization reference source by (pre-)configuration when both PCell and PSCell’s RSRP values are higher than a threshold (pre-)configured by network.</w:t>
      </w:r>
      <w:r w:rsidRPr="00CB68C4">
        <w:rPr>
          <w:b/>
          <w:lang w:val="en-GB" w:eastAsia="zh-CN"/>
        </w:rPr>
        <w:fldChar w:fldCharType="end"/>
      </w:r>
    </w:p>
    <w:p w14:paraId="3AEA64B8" w14:textId="77777777" w:rsidR="002151B9" w:rsidRPr="008A464B" w:rsidRDefault="002151B9"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lastRenderedPageBreak/>
        <w:t>References</w:t>
      </w:r>
    </w:p>
    <w:p w14:paraId="16C36935" w14:textId="50E407DB" w:rsidR="00B3166B" w:rsidRDefault="00B3166B" w:rsidP="00B3166B">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#98bis </w:t>
      </w:r>
      <w:r>
        <w:rPr>
          <w:szCs w:val="22"/>
        </w:rPr>
        <w:t>Chairman’s Notes</w:t>
      </w:r>
    </w:p>
    <w:p w14:paraId="6F2F18F5" w14:textId="2D0B0E15" w:rsidR="00CB68C4" w:rsidRDefault="00CB68C4" w:rsidP="00CB68C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#99 </w:t>
      </w:r>
      <w:r>
        <w:rPr>
          <w:szCs w:val="22"/>
        </w:rPr>
        <w:t>Chairman’s Notes</w:t>
      </w:r>
    </w:p>
    <w:p w14:paraId="3D284DF5" w14:textId="4FBDD62F" w:rsidR="000D21B5" w:rsidRDefault="000D21B5" w:rsidP="000D21B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#100</w:t>
      </w:r>
      <w:r w:rsidR="00F6604C">
        <w:rPr>
          <w:rFonts w:eastAsiaTheme="minorEastAsia"/>
          <w:szCs w:val="22"/>
          <w:lang w:eastAsia="zh-TW"/>
        </w:rPr>
        <w:t>_</w:t>
      </w:r>
      <w:r>
        <w:rPr>
          <w:rFonts w:eastAsiaTheme="minorEastAsia"/>
          <w:szCs w:val="22"/>
          <w:lang w:eastAsia="zh-TW"/>
        </w:rPr>
        <w:t xml:space="preserve">e </w:t>
      </w:r>
      <w:r>
        <w:rPr>
          <w:szCs w:val="22"/>
        </w:rPr>
        <w:t>Chairman’s Notes</w:t>
      </w:r>
    </w:p>
    <w:p w14:paraId="7F16D68C" w14:textId="2A31B372" w:rsidR="00F6604C" w:rsidRDefault="00F6604C" w:rsidP="00F6604C">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#100</w:t>
      </w:r>
      <w:r>
        <w:rPr>
          <w:rFonts w:eastAsiaTheme="minorEastAsia"/>
          <w:szCs w:val="22"/>
          <w:lang w:eastAsia="zh-TW"/>
        </w:rPr>
        <w:t>bis_</w:t>
      </w:r>
      <w:r>
        <w:rPr>
          <w:rFonts w:eastAsiaTheme="minorEastAsia"/>
          <w:szCs w:val="22"/>
          <w:lang w:eastAsia="zh-TW"/>
        </w:rPr>
        <w:t xml:space="preserve">e </w:t>
      </w:r>
      <w:r>
        <w:rPr>
          <w:szCs w:val="22"/>
        </w:rPr>
        <w:t>Chairman’s Notes</w:t>
      </w:r>
    </w:p>
    <w:p w14:paraId="263FF7EC" w14:textId="77777777" w:rsidR="00F6604C" w:rsidRDefault="00F6604C" w:rsidP="00F6604C">
      <w:pPr>
        <w:spacing w:before="100" w:beforeAutospacing="1" w:after="100" w:afterAutospacing="1"/>
        <w:ind w:left="567"/>
        <w:rPr>
          <w:szCs w:val="22"/>
        </w:rPr>
      </w:pPr>
    </w:p>
    <w:p w14:paraId="08B6FDB1" w14:textId="77777777" w:rsidR="00CB68C4" w:rsidRDefault="00CB68C4" w:rsidP="00CB68C4">
      <w:pPr>
        <w:spacing w:before="100" w:beforeAutospacing="1" w:after="100" w:afterAutospacing="1"/>
        <w:ind w:left="567"/>
        <w:rPr>
          <w:szCs w:val="22"/>
        </w:rPr>
      </w:pPr>
      <w:bookmarkStart w:id="13" w:name="_GoBack"/>
      <w:bookmarkEnd w:id="13"/>
    </w:p>
    <w:sectPr w:rsidR="00CB68C4"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96EA9" w14:textId="77777777" w:rsidR="00464288" w:rsidRDefault="00464288">
      <w:r>
        <w:separator/>
      </w:r>
    </w:p>
  </w:endnote>
  <w:endnote w:type="continuationSeparator" w:id="0">
    <w:p w14:paraId="102A1186" w14:textId="77777777" w:rsidR="00464288" w:rsidRDefault="00464288">
      <w:r>
        <w:continuationSeparator/>
      </w:r>
    </w:p>
  </w:endnote>
  <w:endnote w:type="continuationNotice" w:id="1">
    <w:p w14:paraId="42FAA8CC" w14:textId="77777777" w:rsidR="00464288" w:rsidRDefault="00464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604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604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E54A7" w14:textId="77777777" w:rsidR="00464288" w:rsidRDefault="00464288">
      <w:r>
        <w:separator/>
      </w:r>
    </w:p>
  </w:footnote>
  <w:footnote w:type="continuationSeparator" w:id="0">
    <w:p w14:paraId="33274EF1" w14:textId="77777777" w:rsidR="00464288" w:rsidRDefault="00464288">
      <w:r>
        <w:continuationSeparator/>
      </w:r>
    </w:p>
  </w:footnote>
  <w:footnote w:type="continuationNotice" w:id="1">
    <w:p w14:paraId="1C9539F5" w14:textId="77777777" w:rsidR="00464288" w:rsidRDefault="004642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69AA3CAE"/>
    <w:lvl w:ilvl="0">
      <w:start w:val="1"/>
      <w:numFmt w:val="decimal"/>
      <w:pStyle w:val="Heading1"/>
      <w:lvlText w:val="%1"/>
      <w:lvlJc w:val="left"/>
      <w:pPr>
        <w:ind w:left="6669"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C16FA1"/>
    <w:multiLevelType w:val="hybridMultilevel"/>
    <w:tmpl w:val="A2C8862A"/>
    <w:lvl w:ilvl="0" w:tplc="F9C6C5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2"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C6FBC"/>
    <w:multiLevelType w:val="hybridMultilevel"/>
    <w:tmpl w:val="7D12A11C"/>
    <w:lvl w:ilvl="0" w:tplc="D0B68CDC">
      <w:start w:val="5"/>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C501E"/>
    <w:multiLevelType w:val="hybridMultilevel"/>
    <w:tmpl w:val="39864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87E04"/>
    <w:multiLevelType w:val="hybridMultilevel"/>
    <w:tmpl w:val="385EC216"/>
    <w:lvl w:ilvl="0" w:tplc="0C9C1F32">
      <w:start w:val="5"/>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5"/>
  </w:num>
  <w:num w:numId="4">
    <w:abstractNumId w:val="24"/>
  </w:num>
  <w:num w:numId="5">
    <w:abstractNumId w:val="6"/>
  </w:num>
  <w:num w:numId="6">
    <w:abstractNumId w:val="30"/>
  </w:num>
  <w:num w:numId="7">
    <w:abstractNumId w:val="5"/>
  </w:num>
  <w:num w:numId="8">
    <w:abstractNumId w:val="22"/>
  </w:num>
  <w:num w:numId="9">
    <w:abstractNumId w:val="20"/>
  </w:num>
  <w:num w:numId="10">
    <w:abstractNumId w:val="11"/>
  </w:num>
  <w:num w:numId="11">
    <w:abstractNumId w:val="8"/>
  </w:num>
  <w:num w:numId="12">
    <w:abstractNumId w:val="18"/>
  </w:num>
  <w:num w:numId="13">
    <w:abstractNumId w:val="4"/>
  </w:num>
  <w:num w:numId="14">
    <w:abstractNumId w:val="13"/>
  </w:num>
  <w:num w:numId="15">
    <w:abstractNumId w:val="19"/>
  </w:num>
  <w:num w:numId="16">
    <w:abstractNumId w:val="1"/>
  </w:num>
  <w:num w:numId="17">
    <w:abstractNumId w:val="16"/>
  </w:num>
  <w:num w:numId="18">
    <w:abstractNumId w:val="10"/>
  </w:num>
  <w:num w:numId="19">
    <w:abstractNumId w:val="14"/>
  </w:num>
  <w:num w:numId="20">
    <w:abstractNumId w:val="17"/>
  </w:num>
  <w:num w:numId="21">
    <w:abstractNumId w:val="28"/>
  </w:num>
  <w:num w:numId="22">
    <w:abstractNumId w:val="12"/>
  </w:num>
  <w:num w:numId="23">
    <w:abstractNumId w:val="7"/>
  </w:num>
  <w:num w:numId="24">
    <w:abstractNumId w:val="9"/>
  </w:num>
  <w:num w:numId="25">
    <w:abstractNumId w:val="26"/>
  </w:num>
  <w:num w:numId="26">
    <w:abstractNumId w:val="25"/>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3"/>
  </w:num>
  <w:num w:numId="40">
    <w:abstractNumId w:val="29"/>
  </w:num>
  <w:num w:numId="4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1B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297"/>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1B9"/>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65A"/>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A72"/>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5CC"/>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406"/>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288"/>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3D5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2A11"/>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8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8A"/>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6C3"/>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659"/>
    <w:rsid w:val="009867ED"/>
    <w:rsid w:val="00986956"/>
    <w:rsid w:val="00986A82"/>
    <w:rsid w:val="00986B31"/>
    <w:rsid w:val="00986E61"/>
    <w:rsid w:val="009873AF"/>
    <w:rsid w:val="009875A6"/>
    <w:rsid w:val="009876A0"/>
    <w:rsid w:val="009879B5"/>
    <w:rsid w:val="009879F4"/>
    <w:rsid w:val="00987A56"/>
    <w:rsid w:val="00987D30"/>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FCF"/>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24"/>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049"/>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1D"/>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7D7"/>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66B"/>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0F7"/>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8C4"/>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7B"/>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0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875"/>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4C"/>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4E2"/>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1ED"/>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3268"/>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908263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6706010">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4EBED-02C4-418D-8215-E341FE1C3C55}">
  <ds:schemaRefs>
    <ds:schemaRef ds:uri="http://schemas.openxmlformats.org/officeDocument/2006/bibliography"/>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5.xml><?xml version="1.0" encoding="utf-8"?>
<ds:datastoreItem xmlns:ds="http://schemas.openxmlformats.org/officeDocument/2006/customXml" ds:itemID="{5694EC5D-7F82-4895-8C38-B8C6FF78BBB2}">
  <ds:schemaRefs>
    <ds:schemaRef ds:uri="http://schemas.openxmlformats.org/officeDocument/2006/bibliography"/>
  </ds:schemaRefs>
</ds:datastoreItem>
</file>

<file path=customXml/itemProps6.xml><?xml version="1.0" encoding="utf-8"?>
<ds:datastoreItem xmlns:ds="http://schemas.openxmlformats.org/officeDocument/2006/customXml" ds:itemID="{4A7AC736-7CDF-48C0-87FA-9B5BAAAAD9F9}">
  <ds:schemaRefs>
    <ds:schemaRef ds:uri="http://schemas.openxmlformats.org/officeDocument/2006/bibliography"/>
  </ds:schemaRefs>
</ds:datastoreItem>
</file>

<file path=customXml/itemProps7.xml><?xml version="1.0" encoding="utf-8"?>
<ds:datastoreItem xmlns:ds="http://schemas.openxmlformats.org/officeDocument/2006/customXml" ds:itemID="{F4FC5748-B36A-4226-9798-0ECD2BA32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8155</TotalTime>
  <Pages>5</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10698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150</cp:revision>
  <cp:lastPrinted>2016-11-09T12:39:00Z</cp:lastPrinted>
  <dcterms:created xsi:type="dcterms:W3CDTF">2018-09-28T09:59:00Z</dcterms:created>
  <dcterms:modified xsi:type="dcterms:W3CDTF">2020-05-16T05:39:00Z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